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4.jpeg" ContentType="image/jpeg"/>
  <Override PartName="/word/media/image2.png" ContentType="image/png"/>
  <Override PartName="/word/media/image3.png" ContentType="image/png"/>
  <Override PartName="/word/media/image5.jpeg" ContentType="image/jpe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0" w:right="0" w:firstLine="567"/>
        <w:jc w:val="left"/>
        <w:rPr/>
      </w:pPr>
      <w:r>
        <w:rPr>
          <w:rFonts w:cs="Arial" w:ascii="Arial" w:hAnsi="Arial"/>
          <w:b/>
          <w:bCs/>
          <w:sz w:val="28"/>
          <w:szCs w:val="28"/>
          <w:lang w:eastAsia="en-US"/>
        </w:rPr>
        <w:tab/>
        <w:tab/>
        <w:tab/>
        <w:tab/>
        <w:tab/>
        <w:tab/>
        <w:tab/>
        <w:tab/>
        <w:tab/>
        <w:tab/>
        <w:tab/>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tabs>
          <w:tab w:val="left" w:pos="2730" w:leader="none"/>
        </w:tabs>
        <w:bidi w:val="0"/>
        <w:spacing w:lineRule="auto" w:line="276" w:before="113" w:after="113"/>
        <w:ind w:left="0" w:right="0" w:firstLine="567"/>
        <w:jc w:val="left"/>
        <w:rPr/>
      </w:pPr>
      <w:r>
        <w:rPr>
          <w:rFonts w:cs="Arial" w:ascii="Arial" w:hAnsi="Arial"/>
          <w:b/>
          <w:bCs/>
          <w:sz w:val="28"/>
          <w:szCs w:val="28"/>
          <w:lang w:eastAsia="en-US"/>
        </w:rPr>
        <w:tab/>
      </w:r>
    </w:p>
    <w:p>
      <w:pPr>
        <w:pStyle w:val="Normal"/>
        <w:bidi w:val="0"/>
        <w:spacing w:lineRule="auto" w:line="276" w:before="113" w:after="113"/>
        <w:ind w:left="0" w:right="0" w:firstLine="567"/>
        <w:jc w:val="center"/>
        <w:rPr/>
      </w:pPr>
      <w:r>
        <w:rPr>
          <w:rFonts w:cs="Arial" w:ascii="Arial" w:hAnsi="Arial"/>
          <w:b/>
          <w:bCs/>
          <w:sz w:val="44"/>
          <w:szCs w:val="44"/>
          <w:lang w:eastAsia="en-US"/>
        </w:rPr>
        <w:t>MEMORIAL DESCRITIVO</w:t>
      </w:r>
    </w:p>
    <w:p>
      <w:pPr>
        <w:pStyle w:val="Normal"/>
        <w:bidi w:val="0"/>
        <w:spacing w:lineRule="auto" w:line="276" w:before="113" w:after="113"/>
        <w:ind w:left="0" w:right="0" w:firstLine="567"/>
        <w:jc w:val="center"/>
        <w:rPr/>
      </w:pPr>
      <w:r>
        <w:rPr>
          <w:rFonts w:cs="Arial" w:ascii="Arial" w:hAnsi="Arial"/>
          <w:b/>
          <w:bCs/>
          <w:sz w:val="44"/>
          <w:szCs w:val="44"/>
          <w:lang w:eastAsia="en-US"/>
        </w:rPr>
        <w:t xml:space="preserve"> </w:t>
      </w:r>
    </w:p>
    <w:p>
      <w:pPr>
        <w:pStyle w:val="Normal"/>
        <w:bidi w:val="0"/>
        <w:spacing w:lineRule="auto" w:line="276" w:before="113" w:after="113"/>
        <w:ind w:left="0" w:right="0" w:firstLine="567"/>
        <w:jc w:val="center"/>
        <w:rPr>
          <w:rFonts w:ascii="Arial" w:hAnsi="Arial" w:eastAsia="Calibri" w:cs="Arial"/>
          <w:sz w:val="28"/>
          <w:szCs w:val="28"/>
          <w:lang w:eastAsia="en-US"/>
        </w:rPr>
      </w:pPr>
      <w:r>
        <w:rPr>
          <w:rFonts w:eastAsia="Calibri" w:cs="Arial" w:ascii="Arial" w:hAnsi="Arial"/>
          <w:sz w:val="28"/>
          <w:szCs w:val="28"/>
          <w:lang w:eastAsia="en-US"/>
        </w:rPr>
      </w:r>
    </w:p>
    <w:p>
      <w:pPr>
        <w:pStyle w:val="Normal"/>
        <w:widowControl/>
        <w:bidi w:val="0"/>
        <w:spacing w:lineRule="auto" w:line="276" w:before="113" w:after="113"/>
        <w:ind w:left="0" w:right="0" w:hanging="0"/>
        <w:jc w:val="center"/>
        <w:rPr/>
      </w:pPr>
      <w:r>
        <w:rPr>
          <w:rFonts w:eastAsia="Calibri" w:cs="Arial" w:ascii="Arial" w:hAnsi="Arial"/>
          <w:b/>
          <w:sz w:val="28"/>
          <w:szCs w:val="28"/>
          <w:lang w:eastAsia="en-US"/>
        </w:rPr>
        <w:t>REFORMA E AMPLIAÇÃO D</w:t>
      </w:r>
      <w:r>
        <w:rPr>
          <w:rFonts w:eastAsia="Calibri" w:cs="Arial" w:ascii="Arial" w:hAnsi="Arial"/>
          <w:b/>
          <w:color w:val="000000"/>
          <w:sz w:val="28"/>
          <w:szCs w:val="22"/>
          <w:lang w:eastAsia="en-US"/>
        </w:rPr>
        <w:t>A ESCOLA BÁSICA MELVIN JONES</w:t>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pPr>
      <w:r>
        <w:rPr>
          <w:rFonts w:cs="Arial" w:ascii="Arial" w:hAnsi="Arial"/>
          <w:b/>
          <w:bCs/>
          <w:lang w:eastAsia="en-US"/>
        </w:rPr>
        <w:t>DEZEMBRO/2019</w:t>
      </w:r>
      <w:r>
        <w:br w:type="page"/>
      </w:r>
    </w:p>
    <w:p>
      <w:pPr>
        <w:pStyle w:val="Normal"/>
        <w:bidi w:val="0"/>
        <w:spacing w:lineRule="auto" w:line="276" w:before="113" w:after="113"/>
        <w:ind w:left="0" w:right="0" w:firstLine="567"/>
        <w:jc w:val="left"/>
        <w:rPr/>
      </w:pPr>
      <w:r>
        <w:rPr/>
      </w:r>
    </w:p>
    <w:p>
      <w:pPr>
        <w:pStyle w:val="Ttulo1"/>
        <w:bidi w:val="0"/>
        <w:spacing w:lineRule="auto" w:line="276" w:before="113" w:after="113"/>
        <w:ind w:left="0" w:right="0" w:firstLine="567"/>
        <w:jc w:val="center"/>
        <w:rPr/>
      </w:pPr>
      <w:bookmarkStart w:id="0" w:name="_Toc176231960"/>
      <w:bookmarkEnd w:id="0"/>
      <w:r>
        <w:rPr>
          <w:rFonts w:cs="Arial"/>
          <w:b w:val="false"/>
          <w:color w:val="00000A"/>
        </w:rPr>
        <w:t>A – INTRODUÇÃO</w:t>
      </w:r>
    </w:p>
    <w:p>
      <w:pPr>
        <w:pStyle w:val="Normal"/>
        <w:bidi w:val="0"/>
        <w:spacing w:lineRule="auto" w:line="276" w:before="113" w:after="113"/>
        <w:ind w:left="0" w:right="0" w:firstLine="567"/>
        <w:jc w:val="left"/>
        <w:rPr/>
      </w:pPr>
      <w:r>
        <w:rPr>
          <w:rFonts w:cs="Arial" w:ascii="Arial" w:hAnsi="Arial"/>
          <w:sz w:val="28"/>
        </w:rPr>
        <w:t>OBJETO</w:t>
      </w:r>
    </w:p>
    <w:p>
      <w:pPr>
        <w:pStyle w:val="Normal"/>
        <w:bidi w:val="0"/>
        <w:spacing w:lineRule="auto" w:line="276" w:before="113" w:after="113"/>
        <w:ind w:left="0" w:right="0" w:firstLine="567"/>
        <w:jc w:val="both"/>
        <w:rPr/>
      </w:pPr>
      <w:r>
        <w:rPr>
          <w:rFonts w:cs="Arial" w:ascii="Arial" w:hAnsi="Arial"/>
          <w:sz w:val="22"/>
          <w:szCs w:val="22"/>
        </w:rPr>
        <w:t xml:space="preserve">O presente Memorial Descritivo é parte integrante do projeto básico referente ao objeto: </w:t>
      </w:r>
      <w:r>
        <w:rPr>
          <w:rFonts w:cs="Arial" w:ascii="Arial" w:hAnsi="Arial"/>
          <w:b/>
          <w:color w:val="000000"/>
          <w:sz w:val="22"/>
          <w:szCs w:val="22"/>
        </w:rPr>
        <w:t>REFORMA E AMPLIAÇÃO DA ESCOLA BÁSICA MELVIN JONES</w:t>
      </w:r>
      <w:r>
        <w:rPr>
          <w:rFonts w:cs="Arial" w:ascii="Arial" w:hAnsi="Arial"/>
          <w:b/>
          <w:sz w:val="22"/>
          <w:szCs w:val="22"/>
        </w:rPr>
        <w:t xml:space="preserve"> </w:t>
      </w:r>
      <w:r>
        <w:rPr>
          <w:rFonts w:cs="Arial" w:ascii="Arial" w:hAnsi="Arial"/>
          <w:b w:val="false"/>
          <w:bCs w:val="false"/>
          <w:sz w:val="22"/>
          <w:szCs w:val="22"/>
        </w:rPr>
        <w:t xml:space="preserve">localizado na R. </w:t>
      </w:r>
      <w:r>
        <w:rPr>
          <w:rFonts w:cs="Arial" w:ascii="Arial" w:hAnsi="Arial"/>
          <w:b w:val="false"/>
          <w:bCs w:val="false"/>
          <w:i w:val="false"/>
          <w:strike w:val="false"/>
          <w:dstrike w:val="false"/>
          <w:outline w:val="false"/>
          <w:shadow w:val="false"/>
          <w:sz w:val="22"/>
          <w:szCs w:val="22"/>
          <w:u w:val="none"/>
          <w:em w:val="none"/>
        </w:rPr>
        <w:t>Sebasti</w:t>
      </w:r>
      <w:r>
        <w:rPr>
          <w:rFonts w:ascii="Arial" w:hAnsi="Arial"/>
          <w:b w:val="false"/>
          <w:i w:val="false"/>
          <w:strike w:val="false"/>
          <w:dstrike w:val="false"/>
          <w:outline w:val="false"/>
          <w:shadow w:val="false"/>
          <w:sz w:val="22"/>
          <w:szCs w:val="22"/>
          <w:u w:val="none"/>
          <w:em w:val="none"/>
        </w:rPr>
        <w:t>ão Romeu Soares</w:t>
      </w:r>
      <w:r>
        <w:rPr>
          <w:rFonts w:cs="Arial" w:ascii="Arial" w:hAnsi="Arial"/>
          <w:b w:val="false"/>
          <w:bCs w:val="false"/>
          <w:i w:val="false"/>
          <w:strike w:val="false"/>
          <w:dstrike w:val="false"/>
          <w:outline w:val="false"/>
          <w:shadow w:val="false"/>
          <w:sz w:val="22"/>
          <w:szCs w:val="22"/>
          <w:u w:val="none"/>
          <w:em w:val="none"/>
        </w:rPr>
        <w:t>, Nº 640, Cordeiros, Itajaí – SC</w:t>
      </w:r>
      <w:r>
        <w:rPr>
          <w:rFonts w:cs="Arial" w:ascii="Arial" w:hAnsi="Arial"/>
          <w:b w:val="false"/>
          <w:bCs w:val="false"/>
          <w:sz w:val="22"/>
          <w:szCs w:val="22"/>
        </w:rPr>
        <w:t>.</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0"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vAlign w:val="cente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rHeight w:val="449" w:hRule="atLeast"/>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vAlign w:val="center"/>
          </w:tcPr>
          <w:p>
            <w:pPr>
              <w:pStyle w:val="Normal"/>
              <w:tabs>
                <w:tab w:val="left" w:pos="851" w:leader="none"/>
              </w:tabs>
              <w:spacing w:lineRule="auto" w:line="276" w:before="0" w:after="120"/>
              <w:jc w:val="both"/>
              <w:rPr/>
            </w:pPr>
            <w:r>
              <w:rPr>
                <w:rFonts w:cs="Arial" w:ascii="Arial" w:hAnsi="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vAlign w:val="center"/>
          </w:tcPr>
          <w:p>
            <w:pPr>
              <w:pStyle w:val="Normal"/>
              <w:tabs>
                <w:tab w:val="left" w:pos="851" w:leader="none"/>
              </w:tabs>
              <w:spacing w:lineRule="auto" w:line="276" w:before="0" w:after="120"/>
              <w:jc w:val="both"/>
              <w:rPr/>
            </w:pPr>
            <w:r>
              <w:rPr>
                <w:rFonts w:cs="Arial" w:ascii="Arial" w:hAnsi="Arial"/>
                <w:sz w:val="22"/>
                <w:szCs w:val="22"/>
              </w:rPr>
              <w:t>4107,06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vAlign w:val="center"/>
          </w:tcPr>
          <w:p>
            <w:pPr>
              <w:pStyle w:val="Normal"/>
              <w:tabs>
                <w:tab w:val="left" w:pos="851" w:leader="none"/>
              </w:tabs>
              <w:spacing w:lineRule="auto" w:line="276" w:before="0" w:after="120"/>
              <w:jc w:val="both"/>
              <w:rPr/>
            </w:pPr>
            <w:r>
              <w:rPr>
                <w:rFonts w:cs="Arial" w:ascii="Arial" w:hAnsi="Arial"/>
                <w:sz w:val="22"/>
                <w:szCs w:val="22"/>
              </w:rPr>
              <w:t>Área a construir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vAlign w:val="center"/>
          </w:tcPr>
          <w:p>
            <w:pPr>
              <w:pStyle w:val="Normal"/>
              <w:tabs>
                <w:tab w:val="left" w:pos="851" w:leader="none"/>
              </w:tabs>
              <w:spacing w:lineRule="auto" w:line="276" w:before="0" w:after="120"/>
              <w:jc w:val="both"/>
              <w:rPr/>
            </w:pPr>
            <w:r>
              <w:rPr>
                <w:rFonts w:cs="Arial" w:ascii="Arial" w:hAnsi="Arial"/>
                <w:sz w:val="22"/>
                <w:szCs w:val="22"/>
              </w:rPr>
              <w:t>95,79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vAlign w:val="center"/>
          </w:tcPr>
          <w:p>
            <w:pPr>
              <w:pStyle w:val="Normal"/>
              <w:tabs>
                <w:tab w:val="left" w:pos="851" w:leader="none"/>
              </w:tabs>
              <w:spacing w:lineRule="auto" w:line="276" w:before="0" w:after="120"/>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vAlign w:val="center"/>
          </w:tcPr>
          <w:p>
            <w:pPr>
              <w:pStyle w:val="Normal"/>
              <w:tabs>
                <w:tab w:val="left" w:pos="851" w:leader="none"/>
              </w:tabs>
              <w:spacing w:lineRule="auto" w:line="276" w:before="0" w:after="120"/>
              <w:jc w:val="both"/>
              <w:rPr/>
            </w:pPr>
            <w:r>
              <w:rPr>
                <w:rFonts w:cs="Arial" w:ascii="Arial" w:hAnsi="Arial"/>
                <w:sz w:val="22"/>
                <w:szCs w:val="22"/>
              </w:rPr>
              <w:t>3 pavimentos</w:t>
            </w:r>
          </w:p>
        </w:tc>
      </w:tr>
    </w:tbl>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sz w:val="28"/>
        </w:rPr>
        <w:t>DESCRIÇÃO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ind w:firstLine="708"/>
        <w:jc w:val="both"/>
        <w:rPr/>
      </w:pPr>
      <w:bookmarkStart w:id="1" w:name="__DdeLink__1118_4245987050"/>
      <w:r>
        <w:rPr>
          <w:rFonts w:cs="Arial" w:ascii="Arial" w:hAnsi="Arial"/>
          <w:sz w:val="22"/>
          <w:szCs w:val="22"/>
        </w:rPr>
        <w:t>O edifício onde está instalada a Escola Básica Melvin Jones necessita de reforma devido ao desgaste do tempo, além da utilização e grande fluxo de alunos na unidade e ampliada uma sala para aulas de informática.</w:t>
      </w:r>
    </w:p>
    <w:p>
      <w:pPr>
        <w:pStyle w:val="Normal"/>
        <w:tabs>
          <w:tab w:val="left" w:pos="851" w:leader="none"/>
        </w:tabs>
        <w:spacing w:lineRule="auto" w:line="276" w:before="0" w:after="120"/>
        <w:ind w:firstLine="708"/>
        <w:jc w:val="both"/>
        <w:rPr/>
      </w:pPr>
      <w:r>
        <w:rPr>
          <w:rFonts w:cs="Arial" w:ascii="Arial" w:hAnsi="Arial"/>
          <w:sz w:val="22"/>
          <w:szCs w:val="22"/>
        </w:rPr>
        <w:t>A unidade escolar será pintada em sua totalidade.</w:t>
      </w:r>
    </w:p>
    <w:p>
      <w:pPr>
        <w:pStyle w:val="Normal"/>
        <w:tabs>
          <w:tab w:val="left" w:pos="851" w:leader="none"/>
        </w:tabs>
        <w:spacing w:lineRule="auto" w:line="276" w:before="0" w:after="120"/>
        <w:ind w:firstLine="708"/>
        <w:jc w:val="both"/>
        <w:rPr/>
      </w:pPr>
      <w:r>
        <w:rPr>
          <w:rFonts w:cs="Arial" w:ascii="Arial" w:hAnsi="Arial"/>
          <w:sz w:val="22"/>
          <w:szCs w:val="22"/>
        </w:rPr>
        <w:t xml:space="preserve">Na área a ser ampliada será construída 1 (uma) sala nova na parte frontal do terreno, adjacente ao muro. </w:t>
      </w:r>
    </w:p>
    <w:p>
      <w:pPr>
        <w:pStyle w:val="Normal"/>
        <w:tabs>
          <w:tab w:val="left" w:pos="851" w:leader="none"/>
        </w:tabs>
        <w:spacing w:lineRule="auto" w:line="276" w:before="0" w:after="120"/>
        <w:ind w:right="-89" w:firstLine="708"/>
        <w:jc w:val="both"/>
        <w:rPr/>
      </w:pPr>
      <w:bookmarkStart w:id="2" w:name="__DdeLink__1118_4245987050"/>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bookmarkEnd w:id="2"/>
    </w:p>
    <w:p>
      <w:pPr>
        <w:pStyle w:val="Normal"/>
        <w:tabs>
          <w:tab w:val="left" w:pos="851" w:leader="none"/>
        </w:tabs>
        <w:bidi w:val="0"/>
        <w:spacing w:lineRule="auto" w:line="276" w:before="0" w:after="120"/>
        <w:ind w:firstLine="708"/>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8"/>
        </w:rPr>
        <w:t>RESPONSABILIDADE, GARANTIA E RESPEITO AO PROJETO</w:t>
      </w:r>
    </w:p>
    <w:p>
      <w:pPr>
        <w:pStyle w:val="Normal"/>
        <w:bidi w:val="0"/>
        <w:spacing w:lineRule="auto" w:line="276" w:before="113" w:after="113"/>
        <w:ind w:left="0" w:right="0" w:firstLine="567"/>
        <w:jc w:val="both"/>
        <w:rPr/>
      </w:pPr>
      <w:r>
        <w:rPr>
          <w:rFonts w:cs="Arial" w:ascii="Arial" w:hAnsi="Arial"/>
          <w:sz w:val="22"/>
          <w:szCs w:val="22"/>
        </w:rPr>
        <w:t>O presente memorial tem por objetivo estabelecer os requisitos, condições técnicas e administrativas que regerão o desenvolvimento das obras contratadas pelo Município de Itajaí. Este memorial será parte integrante do documento contratual.</w:t>
      </w:r>
    </w:p>
    <w:p>
      <w:pPr>
        <w:pStyle w:val="Normal"/>
        <w:bidi w:val="0"/>
        <w:spacing w:lineRule="auto" w:line="276" w:before="113" w:after="113"/>
        <w:ind w:left="0" w:right="0" w:firstLine="567"/>
        <w:jc w:val="both"/>
        <w:rPr/>
      </w:pPr>
      <w:r>
        <w:rPr>
          <w:rFonts w:cs="Arial" w:ascii="Arial" w:hAnsi="Arial"/>
          <w:sz w:val="22"/>
          <w:szCs w:val="22"/>
        </w:rPr>
        <w:t>A Contratada deverá obrigatoriamente manter na obra cópia de todos os projetos, bem como este memorial descritivo.</w:t>
      </w:r>
    </w:p>
    <w:p>
      <w:pPr>
        <w:pStyle w:val="Normal"/>
        <w:bidi w:val="0"/>
        <w:spacing w:lineRule="auto" w:line="276" w:before="113" w:after="113"/>
        <w:ind w:left="0" w:right="0" w:firstLine="567"/>
        <w:jc w:val="both"/>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sz w:val="28"/>
        </w:rPr>
        <w:t>FISCALIZAÇÃO</w:t>
      </w:r>
    </w:p>
    <w:p>
      <w:pPr>
        <w:pStyle w:val="Normal"/>
        <w:bidi w:val="0"/>
        <w:spacing w:lineRule="auto" w:line="276" w:before="113" w:after="113"/>
        <w:ind w:left="0" w:right="0" w:firstLine="567"/>
        <w:jc w:val="both"/>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0" w:right="0" w:firstLine="567"/>
        <w:jc w:val="both"/>
        <w:rPr/>
      </w:pPr>
      <w:r>
        <w:rPr>
          <w:rFonts w:cs="Arial" w:ascii="Arial" w:hAnsi="Arial"/>
          <w:sz w:val="22"/>
          <w:szCs w:val="22"/>
        </w:rPr>
        <w:t>A presença da fiscalização durante a execução dos serviços, quaisquer que sejam os atos praticados no desempenho de suas funções, não implica solidariedade ou corresponsabilidade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0" w:right="0" w:firstLine="567"/>
        <w:jc w:val="both"/>
        <w:rPr/>
      </w:pPr>
      <w:r>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0" w:right="0" w:firstLine="567"/>
        <w:jc w:val="both"/>
        <w:rPr/>
      </w:pPr>
      <w:r>
        <w:rPr>
          <w:rFonts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0" w:right="0" w:firstLine="567"/>
        <w:jc w:val="both"/>
        <w:rPr/>
      </w:pPr>
      <w:r>
        <w:rPr>
          <w:rFonts w:cs="Arial"/>
          <w:sz w:val="22"/>
          <w:szCs w:val="22"/>
        </w:rPr>
        <w:t>Quando da apresentação do orçamento, fica subentendido que o Construtor não teve nenhuma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0" w:right="0" w:firstLine="567"/>
        <w:jc w:val="both"/>
        <w:rPr>
          <w:rFonts w:cs="Arial"/>
          <w:b w:val="false"/>
          <w:b w:val="false"/>
          <w:bCs/>
          <w:color w:val="00000A"/>
        </w:rPr>
      </w:pPr>
      <w:r>
        <w:rPr>
          <w:rFonts w:cs="Arial"/>
          <w:b w:val="false"/>
          <w:bCs/>
          <w:color w:val="00000A"/>
        </w:rPr>
      </w:r>
    </w:p>
    <w:p>
      <w:pPr>
        <w:pStyle w:val="Ttulo1"/>
        <w:bidi w:val="0"/>
        <w:spacing w:lineRule="auto" w:line="276" w:before="113" w:after="113"/>
        <w:ind w:left="0" w:right="0" w:firstLine="567"/>
        <w:jc w:val="center"/>
        <w:rPr/>
      </w:pPr>
      <w:bookmarkStart w:id="3" w:name="_Toc176231961"/>
      <w:bookmarkEnd w:id="3"/>
      <w:r>
        <w:rPr>
          <w:rFonts w:cs="Arial"/>
          <w:b w:val="false"/>
          <w:bCs/>
          <w:color w:val="00000A"/>
        </w:rPr>
        <w:t>B – DISPOSIÇÕES GERAIS</w:t>
      </w:r>
    </w:p>
    <w:p>
      <w:pPr>
        <w:pStyle w:val="Normal"/>
        <w:bidi w:val="0"/>
        <w:spacing w:lineRule="auto" w:line="276" w:before="113" w:after="113"/>
        <w:ind w:left="0" w:right="0" w:firstLine="567"/>
        <w:jc w:val="both"/>
        <w:rPr/>
      </w:pPr>
      <w:r>
        <w:rPr>
          <w:rFonts w:cs="Arial" w:ascii="Arial" w:hAnsi="Arial"/>
          <w:sz w:val="24"/>
        </w:rPr>
        <w:tab/>
      </w:r>
    </w:p>
    <w:p>
      <w:pPr>
        <w:pStyle w:val="Normal"/>
        <w:bidi w:val="0"/>
        <w:spacing w:lineRule="auto" w:line="276" w:before="113" w:after="113"/>
        <w:ind w:left="0" w:right="0" w:firstLine="567"/>
        <w:jc w:val="both"/>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0" w:right="0" w:firstLine="567"/>
        <w:jc w:val="both"/>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0" w:right="0" w:firstLine="567"/>
        <w:jc w:val="both"/>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0" w:right="0" w:firstLine="567"/>
        <w:jc w:val="both"/>
        <w:rPr/>
      </w:pPr>
      <w:r>
        <w:rPr>
          <w:rFonts w:cs="Arial" w:ascii="Arial" w:hAnsi="Arial"/>
          <w:sz w:val="22"/>
          <w:szCs w:val="22"/>
        </w:rPr>
        <w:tab/>
        <w:t>II – A mão de 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0" w:right="0" w:firstLine="567"/>
        <w:jc w:val="both"/>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0" w:right="0" w:firstLine="567"/>
        <w:jc w:val="both"/>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0" w:right="0" w:firstLine="567"/>
        <w:jc w:val="both"/>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em caso de divergência entre o Memorial Descritivo e os desenhos do Projeto Arquitetônico, prevalecerá sempre o primeiro;</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em caso de divergência entre o Memorial Descritivo e os desenhos dos projetos especializados – Estrutural e Instalações, prevalecerão sempre estes últimos;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em caso de divergência entre as cotas dos desenhos e suas dimensões, medidas em escala, prevalecerão sempre as primeiras;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em caso de divergência entre os desenhos de escalas diferentes, prevalecerão sempre os de maior escala;</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em caso de divergência entre desenhos de datas diferentes, prevalecerão sempre os mais recentes;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em caso de divergência entre o quadro resumo de esquadrias e as localizações destas nos desenhos, prevalecerão sempre essas últimas;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0" w:right="0" w:firstLine="567"/>
        <w:jc w:val="both"/>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rede de dutos de ar-condicionado em relação ao posicionamento de vigas, pilares e outros elementos estruturais;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tubulações de água e de esgotos em relação a esses mesmos elementos estruturais;</w:t>
      </w:r>
    </w:p>
    <w:p>
      <w:pPr>
        <w:pStyle w:val="Normal"/>
        <w:bidi w:val="0"/>
        <w:spacing w:lineRule="auto" w:line="276" w:before="113" w:after="113"/>
        <w:ind w:left="0" w:right="0" w:firstLine="567"/>
        <w:jc w:val="both"/>
        <w:rPr/>
      </w:pPr>
      <w:r>
        <w:rPr>
          <w:rFonts w:cs="Arial" w:ascii="Arial" w:hAnsi="Arial"/>
          <w:sz w:val="22"/>
          <w:szCs w:val="22"/>
        </w:rPr>
        <w:t xml:space="preserve"> – </w:t>
      </w:r>
      <w:r>
        <w:rPr>
          <w:rFonts w:cs="Arial" w:ascii="Arial" w:hAnsi="Arial"/>
          <w:sz w:val="22"/>
          <w:szCs w:val="22"/>
        </w:rPr>
        <w:t>altura de vigas, especialmente em escadas, com vistas ao trânsito de pessoas.</w:t>
      </w:r>
    </w:p>
    <w:p>
      <w:pPr>
        <w:pStyle w:val="Normal"/>
        <w:bidi w:val="0"/>
        <w:spacing w:lineRule="auto" w:line="276" w:before="113" w:after="113"/>
        <w:ind w:left="0" w:right="0" w:firstLine="567"/>
        <w:jc w:val="both"/>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0" w:right="0" w:firstLine="567"/>
        <w:jc w:val="both"/>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0" w:right="0" w:firstLine="567"/>
        <w:jc w:val="both"/>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AMOSTRAS E CRITÉRIOS DE ANALOGIA</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0" w:right="0" w:firstLine="567"/>
        <w:jc w:val="both"/>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0" w:right="0" w:firstLine="567"/>
        <w:jc w:val="left"/>
        <w:rPr/>
      </w:pPr>
      <w:r>
        <w:rPr>
          <w:rFonts w:cs="Arial" w:ascii="Arial" w:hAnsi="Arial"/>
          <w:sz w:val="24"/>
          <w:szCs w:val="24"/>
        </w:rPr>
        <w:t>INSTALAÇÃO E ADMINISTRAÇÃO DA OBRA</w:t>
      </w:r>
    </w:p>
    <w:p>
      <w:pPr>
        <w:pStyle w:val="Normal"/>
        <w:bidi w:val="0"/>
        <w:spacing w:lineRule="auto" w:line="276" w:before="113" w:after="113"/>
        <w:ind w:left="0" w:right="0" w:firstLine="567"/>
        <w:jc w:val="both"/>
        <w:rPr/>
      </w:pPr>
      <w:r>
        <w:rPr>
          <w:rFonts w:cs="Arial" w:ascii="Arial" w:hAnsi="Arial"/>
          <w:sz w:val="22"/>
          <w:szCs w:val="22"/>
        </w:rPr>
        <w:t>ADMINISTRAÇÃO DE OBRA</w:t>
      </w:r>
    </w:p>
    <w:p>
      <w:pPr>
        <w:pStyle w:val="Normal"/>
        <w:bidi w:val="0"/>
        <w:spacing w:lineRule="auto" w:line="276" w:before="113" w:after="113"/>
        <w:ind w:left="0" w:right="0" w:firstLine="567"/>
        <w:jc w:val="both"/>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0" w:right="0" w:firstLine="567"/>
        <w:jc w:val="both"/>
        <w:rPr/>
      </w:pPr>
      <w:r>
        <w:rPr>
          <w:rFonts w:cs="Arial" w:ascii="Arial" w:hAnsi="Arial"/>
          <w:b/>
          <w:sz w:val="22"/>
          <w:szCs w:val="22"/>
        </w:rPr>
        <w:t>Seguros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A CONTRATADA deverá providenciar, as suas expensas os seguros listados a seguir: </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Seguro de Risco de Engenharia;</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Importância segurada, igual ao valor do Contrato a ser assinado.</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Transporte de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Arremates Finais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Coletiva – EPC</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Em todos os itens da obra das Obras de Reforma e da Ampliação,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Deverão ser fornecidos pela CONTRATADA, a seus funcionários e/ou subcontratados, todos os Equipamentos de Proteção Individual (EPI) necessários e adequados ao desenvolvimento de cada tarefa nas diversas etapas da obra, conforme previsto na NR-06 e NR-18 da Portaria nº 3214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Programa de Condições e Meio Ambiente de Trabalho na Iindústria da Construção – PCMAT</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Será de responsabilidade da CONTRATADA a elaboração e implementação do PCMAT nas obras com 20 (vinte) trabalhadores ou mais, contemplando os aspectos da NR-18 e demais dispositivos complementares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PCMAT deverá ser elaborado por Engenheiro de Segurança e executado por profissional legalmente habilitado na área de Segurança do Trabalho.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PCMAT deve ser mantido na obra, à disposição da Fiscalização e do órgão regional do Ministério do Trabalho.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Outras Despesas a Cargo da CONTRATADA que deverá estar inclusos nos preços: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despesas relativas aos itens abaixo mencionados correrão por conta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licenças, taxas, alvarás e exigências dos órgãos públicos, relativas à execução das obras e do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ART e/ou RRT de execução das obras e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ART e/ou RRT de complementação em caso de aditamento contratual;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 xml:space="preserve">transporte de pessoal administrativo e técnico; </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transporte de materiais e equipamentos;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alojamentos, estadia e alimentação de pessoal.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andaimes e plataformas necessárias para a execução dos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proteções e demais dispositivos de segurança necessários à execução dos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tarifas de consumo de água e energia elétrica, para a execução das obras;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vigilância do canteiro de obras;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equipe técnica e administrativa;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controle tecnológico / ensaio dos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apresentação do projeto “As built” no final da obra e relatório fotográfico e cronograma físico da obra por ocasião das medições mensais;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ART e/ou RRT referente ao projeto “As built” (como construído);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 </w:t>
      </w:r>
      <w:r>
        <w:rPr>
          <w:rFonts w:cs="Arial" w:ascii="Arial" w:hAnsi="Arial"/>
          <w:sz w:val="22"/>
          <w:szCs w:val="22"/>
        </w:rPr>
        <w:t>o pagamento da primeira medição estará condicionado a apresentação de toda a documentação exigida para início das obras bem como a devida comprovação da inscrição no INSS.</w:t>
      </w:r>
    </w:p>
    <w:p>
      <w:pPr>
        <w:pStyle w:val="Normal"/>
        <w:bidi w:val="0"/>
        <w:spacing w:lineRule="auto" w:line="276" w:before="113" w:after="113"/>
        <w:ind w:left="0" w:right="0" w:firstLine="567"/>
        <w:jc w:val="both"/>
        <w:rPr/>
      </w:pPr>
      <w:r>
        <w:rPr>
          <w:rFonts w:cs="Arial" w:ascii="Arial" w:hAnsi="Arial"/>
          <w:sz w:val="22"/>
          <w:szCs w:val="22"/>
        </w:rPr>
        <w:t>FERRAMENTAS E EQUIPAMENTOS</w:t>
      </w:r>
    </w:p>
    <w:p>
      <w:pPr>
        <w:pStyle w:val="Normal"/>
        <w:bidi w:val="0"/>
        <w:spacing w:lineRule="auto" w:line="276" w:before="113" w:after="113"/>
        <w:ind w:left="0" w:right="0" w:firstLine="567"/>
        <w:jc w:val="both"/>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DESMOBILIZAÇÃO</w:t>
      </w:r>
    </w:p>
    <w:p>
      <w:pPr>
        <w:pStyle w:val="Normal"/>
        <w:bidi w:val="0"/>
        <w:spacing w:lineRule="auto" w:line="276" w:before="113" w:after="113"/>
        <w:ind w:left="0" w:right="0" w:firstLine="567"/>
        <w:jc w:val="both"/>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0" w:right="0" w:firstLine="567"/>
        <w:jc w:val="both"/>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0" w:right="0" w:firstLine="567"/>
        <w:jc w:val="both"/>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r>
        <w:br w:type="page"/>
      </w:r>
    </w:p>
    <w:p>
      <w:pPr>
        <w:pStyle w:val="Ttulo1"/>
        <w:bidi w:val="0"/>
        <w:spacing w:lineRule="auto" w:line="276" w:before="113" w:after="113"/>
        <w:ind w:left="0" w:right="0" w:firstLine="567"/>
        <w:jc w:val="center"/>
        <w:rPr/>
      </w:pPr>
      <w:bookmarkStart w:id="4" w:name="_Toc176231962"/>
      <w:bookmarkEnd w:id="4"/>
      <w:r>
        <w:rPr>
          <w:rFonts w:cs="Arial"/>
          <w:b w:val="false"/>
          <w:bCs/>
          <w:color w:val="00000A"/>
        </w:rPr>
        <w:t>C – MEMORIAL DESCRITIVO</w:t>
      </w:r>
    </w:p>
    <w:p>
      <w:pPr>
        <w:pStyle w:val="Style11"/>
        <w:bidi w:val="0"/>
        <w:spacing w:lineRule="auto" w:line="276" w:before="113" w:after="113"/>
        <w:ind w:left="0" w:right="0" w:firstLine="567"/>
        <w:jc w:val="left"/>
        <w:rPr/>
      </w:pPr>
      <w:r>
        <w:rPr>
          <w:rFonts w:cs="Arial" w:ascii="Arial" w:hAnsi="Arial"/>
          <w:sz w:val="22"/>
          <w:szCs w:val="22"/>
        </w:rPr>
        <w:t xml:space="preserve"> </w:t>
      </w:r>
    </w:p>
    <w:p>
      <w:pPr>
        <w:pStyle w:val="Style11"/>
        <w:bidi w:val="0"/>
        <w:spacing w:lineRule="auto" w:line="276" w:before="113" w:after="113"/>
        <w:ind w:left="0" w:right="0" w:firstLine="567"/>
        <w:jc w:val="left"/>
        <w:rPr/>
      </w:pPr>
      <w:r>
        <w:rPr>
          <w:rFonts w:cs="Arial" w:ascii="Arial" w:hAnsi="Arial"/>
          <w:b/>
          <w:sz w:val="22"/>
          <w:szCs w:val="22"/>
        </w:rPr>
        <w:t>1 SERVIÇOS INICIAIS</w:t>
      </w:r>
    </w:p>
    <w:p>
      <w:pPr>
        <w:pStyle w:val="Normal"/>
        <w:bidi w:val="0"/>
        <w:spacing w:lineRule="auto" w:line="276" w:before="113" w:after="113"/>
        <w:ind w:left="0" w:right="0" w:firstLine="567"/>
        <w:jc w:val="both"/>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0" w:right="0" w:firstLine="567"/>
        <w:jc w:val="both"/>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0" w:right="0" w:firstLine="567"/>
        <w:jc w:val="both"/>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0" w:right="0" w:firstLine="567"/>
        <w:jc w:val="both"/>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0" w:right="0" w:firstLine="567"/>
        <w:jc w:val="both"/>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0" w:right="0" w:firstLine="567"/>
        <w:jc w:val="both"/>
        <w:rPr/>
      </w:pPr>
      <w:r>
        <w:rPr>
          <w:rFonts w:cs="Arial" w:ascii="Arial" w:hAnsi="Arial"/>
          <w:sz w:val="22"/>
          <w:szCs w:val="22"/>
        </w:rPr>
        <w:t>Para o bom aproveitamento da área do canteiro, é importante:</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Manter materiais armazenados em locais preestabelecidos, demarcados e cobertos, quando necessário;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0" w:right="0" w:firstLine="567"/>
        <w:jc w:val="both"/>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0" w:right="0" w:firstLine="567"/>
        <w:jc w:val="both"/>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0" w:right="0" w:firstLine="567"/>
        <w:jc w:val="both"/>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0" w:right="0" w:firstLine="567"/>
        <w:jc w:val="both"/>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0" w:right="0" w:firstLine="567"/>
        <w:jc w:val="both"/>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0" w:right="0" w:firstLine="567"/>
        <w:jc w:val="both"/>
        <w:rPr/>
      </w:pPr>
      <w:r>
        <w:rPr>
          <w:rFonts w:cs="Arial" w:ascii="Arial" w:hAnsi="Arial"/>
          <w:sz w:val="22"/>
          <w:szCs w:val="22"/>
        </w:rPr>
        <w:t>Ficará sob a responsabilidade direta da Contratada a locação da obra, que deverá ser executada com rigor técnico, observando-se atentamente o projeto arquitetônico e o de implantação, quanto a níveis e cotas estabelecidas neles.</w:t>
      </w:r>
    </w:p>
    <w:p>
      <w:pPr>
        <w:pStyle w:val="Normal"/>
        <w:bidi w:val="0"/>
        <w:spacing w:lineRule="auto" w:line="276" w:before="113" w:after="113"/>
        <w:ind w:left="0" w:right="0" w:firstLine="567"/>
        <w:jc w:val="both"/>
        <w:rPr/>
      </w:pPr>
      <w:r>
        <w:rPr>
          <w:rFonts w:cs="Arial" w:ascii="Arial" w:hAnsi="Arial"/>
          <w:sz w:val="22"/>
          <w:szCs w:val="22"/>
        </w:rPr>
        <w:t>Além das plantas acima citadas, será relevante o atendimento ao projeto de fundações, para execução do gabarito convencional, utilizando-se quadros com piquetes e tábuas niveladas, fixadas para resistir à tensão dos fios sem oscilação e sem movimento. A locação será por eixos ou faces de paredes. Caso necessário, deve-se sempre utilizar aparelhos topográficos de maior precisão para implantar os alinhamentos, as linhas normais e paralelas.</w:t>
      </w:r>
    </w:p>
    <w:p>
      <w:pPr>
        <w:pStyle w:val="Normal"/>
        <w:bidi w:val="0"/>
        <w:spacing w:lineRule="auto" w:line="276" w:before="113" w:after="113"/>
        <w:ind w:left="0" w:right="0" w:firstLine="567"/>
        <w:jc w:val="both"/>
        <w:rPr/>
      </w:pPr>
      <w:r>
        <w:rPr>
          <w:rFonts w:cs="Arial" w:ascii="Arial" w:hAnsi="Arial"/>
          <w:sz w:val="22"/>
          <w:szCs w:val="22"/>
        </w:rPr>
        <w:t>A ocorrência de erro na locação da obra implicará à Contratada a obrigação de proceder, por sua conta e dentro dos prazos estipulados no contrato, as devidas modificações, demolições e reposições que assim se fizerem necessárias, sob a aprovação, ou não, da Fiscalização do município.</w:t>
      </w:r>
    </w:p>
    <w:p>
      <w:pPr>
        <w:pStyle w:val="Normal"/>
        <w:bidi w:val="0"/>
        <w:spacing w:lineRule="auto" w:line="276" w:before="113" w:after="113"/>
        <w:ind w:left="0" w:right="0" w:firstLine="567"/>
        <w:jc w:val="both"/>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0" w:right="0" w:firstLine="567"/>
        <w:jc w:val="both"/>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0" w:right="0" w:firstLine="567"/>
        <w:jc w:val="both"/>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0" w:right="0" w:firstLine="567"/>
        <w:jc w:val="both"/>
        <w:rPr/>
      </w:pPr>
      <w:r>
        <w:rPr>
          <w:rFonts w:cs="Arial" w:ascii="Arial" w:hAnsi="Arial"/>
          <w:sz w:val="22"/>
          <w:szCs w:val="22"/>
        </w:rPr>
        <w:t xml:space="preserve">A CONTRATADA providenciará a ligação provisória de energia elétrica, dentro dos padrões da </w:t>
      </w:r>
      <w:r>
        <w:rPr>
          <w:rFonts w:cs="Arial" w:ascii="Arial" w:hAnsi="Arial"/>
          <w:iCs/>
          <w:sz w:val="22"/>
          <w:szCs w:val="22"/>
        </w:rPr>
        <w:t>CELESC</w:t>
      </w:r>
      <w:r>
        <w:rPr>
          <w:rFonts w:cs="Arial" w:ascii="Arial" w:hAnsi="Arial"/>
          <w:i/>
          <w:iCs/>
          <w:sz w:val="22"/>
          <w:szCs w:val="22"/>
        </w:rPr>
        <w:t xml:space="preserve"> – </w:t>
      </w:r>
      <w:r>
        <w:rPr>
          <w:rFonts w:cs="Arial" w:ascii="Arial" w:hAnsi="Arial"/>
          <w:iCs/>
          <w:sz w:val="22"/>
          <w:szCs w:val="22"/>
        </w:rPr>
        <w:t>Centrais Elétrica de Santa Catarina S.A.</w:t>
      </w:r>
    </w:p>
    <w:p>
      <w:pPr>
        <w:pStyle w:val="Normal"/>
        <w:bidi w:val="0"/>
        <w:spacing w:lineRule="auto" w:line="276" w:before="113" w:after="113"/>
        <w:ind w:left="0" w:right="0" w:firstLine="567"/>
        <w:jc w:val="both"/>
        <w:rPr/>
      </w:pPr>
      <w:r>
        <w:rPr>
          <w:rFonts w:cs="Arial" w:ascii="Arial" w:hAnsi="Arial"/>
          <w:sz w:val="22"/>
          <w:szCs w:val="22"/>
        </w:rPr>
        <w:t>As ligações provisórias de energia deverão obedecer às prescrições das concessionárias locais (CELESC) e da municipalidade.  A CONTRATADA deverá proceder a todas as ligações provisórias para os serviços a serem executados no canteiro de obra, inclusive prevendo as extensões dos serviços públicos que se fizerem necessárias, de tal forma não venham a prejudicar a implantação dos demais serviços. Estarão a cargo da CONTRATADA todos os consumos decorrentes das instalações elétricas e usos para a construção.</w:t>
      </w:r>
      <w:r>
        <w:rPr>
          <w:rStyle w:val="CharacterStyle2"/>
          <w:rFonts w:cs="Arial" w:ascii="Arial" w:hAnsi="Arial"/>
          <w:i w:val="false"/>
          <w:szCs w:val="22"/>
        </w:rPr>
        <w:t xml:space="preserve"> </w:t>
      </w:r>
    </w:p>
    <w:p>
      <w:pPr>
        <w:pStyle w:val="Normal"/>
        <w:bidi w:val="0"/>
        <w:spacing w:lineRule="auto" w:line="276" w:before="113" w:after="113"/>
        <w:ind w:left="0" w:right="0" w:firstLine="567"/>
        <w:jc w:val="both"/>
        <w:rPr/>
      </w:pPr>
      <w:r>
        <w:rPr>
          <w:rFonts w:eastAsia="Calibri" w:cs="Arial" w:ascii="Arial" w:hAnsi="Arial"/>
          <w:sz w:val="22"/>
          <w:szCs w:val="22"/>
          <w:lang w:eastAsia="en-US"/>
        </w:rPr>
        <w:t xml:space="preserve">Cabe a contratada a solicitação da ligação provisória de água junto à concessionária local (SEMASA), sendo que as referidas faturas deverão estar em nome da empresa contratada até o recebimento provisório da obra na qual a mesma fará o pedido junto à concessionária de transferência de titularidade para o município. </w:t>
      </w:r>
    </w:p>
    <w:p>
      <w:pPr>
        <w:pStyle w:val="Normal"/>
        <w:bidi w:val="0"/>
        <w:spacing w:lineRule="auto" w:line="276" w:before="113" w:after="113"/>
        <w:ind w:left="0" w:right="0" w:firstLine="567"/>
        <w:jc w:val="both"/>
        <w:rPr/>
      </w:pPr>
      <w:r>
        <w:rPr>
          <w:rFonts w:eastAsia="Calibri" w:cs="Arial" w:ascii="Arial" w:hAnsi="Arial"/>
          <w:sz w:val="22"/>
          <w:szCs w:val="22"/>
          <w:lang w:eastAsia="en-US"/>
        </w:rPr>
        <w:t>Cabe à contratada providenciar as instalações sanitárias provisórias e executar a ligação no ramal predial de esgoto existente. .</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abrigos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pPr>
      <w:r>
        <w:rPr>
          <w:rFonts w:eastAsia="Calibri" w:cs="Arial" w:ascii="Arial" w:hAnsi="Arial"/>
          <w:sz w:val="22"/>
          <w:szCs w:val="22"/>
          <w:lang w:eastAsia="en-US"/>
        </w:rPr>
        <w:t>No intuito de isolar o canteiro de obras dos pontos de passagem de pedestres, deverão ser colocados tapumes com chapa de madeira compensados 6 mm,  com altura de 2,20 m, pintura a cal , na extensão e espaço necessários para o canteiro de obras e atendimento às exigências da Prefeitura Municipal de Itajaí.</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depósitos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pPr>
      <w:r>
        <w:rPr>
          <w:rFonts w:cs="Arial" w:ascii="Arial" w:hAnsi="Arial"/>
          <w:b w:val="false"/>
          <w:bCs w:val="false"/>
          <w:i w:val="false"/>
          <w:iCs w:val="false"/>
          <w:sz w:val="22"/>
          <w:szCs w:val="22"/>
        </w:rPr>
        <w:t>Devido a alterações no layout interno e no aumento de área ao projeto da unidade  aprovado junto ao corpo de bombeiros, a CONTRATA realizara projeto de readequação do espaço e realizará os trâmites de aprovação com fins de obtenção de Habite-se ao término da obra.</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2 MOVIM</w:t>
      </w:r>
      <w:r>
        <w:rPr>
          <w:rFonts w:cs="Arial" w:ascii="Arial" w:hAnsi="Arial"/>
          <w:b/>
          <w:color w:val="00000A"/>
          <w:sz w:val="22"/>
          <w:szCs w:val="22"/>
        </w:rPr>
        <w:t>ENTO DE TERRA</w:t>
      </w:r>
    </w:p>
    <w:p>
      <w:pPr>
        <w:pStyle w:val="Corpodetexto"/>
        <w:bidi w:val="0"/>
        <w:spacing w:lineRule="auto" w:line="276" w:before="113" w:after="113"/>
        <w:ind w:left="0" w:right="0" w:firstLine="567"/>
        <w:jc w:val="both"/>
        <w:rPr/>
      </w:pPr>
      <w:r>
        <w:rPr>
          <w:rFonts w:cs="Arial" w:ascii="Arial" w:hAnsi="Arial"/>
          <w:color w:val="00000A"/>
          <w:sz w:val="22"/>
          <w:szCs w:val="22"/>
        </w:rPr>
        <w:t xml:space="preserve">A escavação será feita manualmente em valas e cavas. Ficará a CONTRATADA responsável pelos devidos escoramentos para perfeito andamento dos trabalhos e segurança dos trabalhadores. O material que sobrar será destinado adequadamente pela CONTRATADA, bota-fora licenciado. </w:t>
      </w:r>
    </w:p>
    <w:p>
      <w:pPr>
        <w:pStyle w:val="Normal"/>
        <w:bidi w:val="0"/>
        <w:spacing w:lineRule="auto" w:line="276" w:before="113" w:after="113"/>
        <w:ind w:left="0" w:right="0" w:firstLine="567"/>
        <w:jc w:val="both"/>
        <w:rPr/>
      </w:pPr>
      <w:r>
        <w:rPr>
          <w:rFonts w:cs="Arial" w:ascii="Arial" w:hAnsi="Arial"/>
          <w:sz w:val="22"/>
          <w:szCs w:val="22"/>
        </w:rPr>
        <w:t>Toda área de ampliação bem como seus acessos e pátios externos, será regularizada de forma a manter a terraplenagem do local. Não será aceito pilhas ou montes de aterro de solo escavado que esteja ocupando espaço desnecessário e comprometendo as atividades operacionais do canteiro de obras.</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As áreas externas à edificação, no interior do terreno previsto para escavações conforme instalações subterrâneas elétricas, sanitárias, pluviais e hidráulicas, deverão ser aterradas com camadas de 0,20 cm de espessura compactada depois do berço de areia para tubulações de PVC, exceto na área da construção a qual deverá ter camada de brita como material de enchimento do radier. Não será aceito depósito de material em áreas as quais não sejam a do canteiro de obras, principalmente em relação a passeios e acessos públicos. Após as instalações hidrossanitárias, sistema de tratamento de efluentes, caixas de inspeção, pluviais, instalações elétricas e provisórias em geral estarem perfeitamente assentadas e niveladas, será executado o reaterro de 30 % reaproveitando o mesmo material retirado quando da abertura das valas. Na sua reposição a mesma se dará em camadas compactadas de 20 cm, ocorrendo gradativamente à compactação mecânica das camadas. Jamais será permitido reposição com material pedregoso.</w:t>
      </w:r>
    </w:p>
    <w:p>
      <w:pPr>
        <w:pStyle w:val="Normal"/>
        <w:bidi w:val="0"/>
        <w:spacing w:lineRule="auto" w:line="276" w:before="113" w:after="113"/>
        <w:ind w:left="0" w:right="0" w:firstLine="567"/>
        <w:jc w:val="both"/>
        <w:rPr/>
      </w:pPr>
      <w:r>
        <w:rPr>
          <w:rFonts w:cs="Arial" w:ascii="Arial" w:hAnsi="Arial"/>
          <w:sz w:val="22"/>
          <w:szCs w:val="22"/>
        </w:rPr>
        <w:t>Transporte comercial de areia e argila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0" w:right="0" w:firstLine="567"/>
        <w:jc w:val="both"/>
        <w:rPr/>
      </w:pPr>
      <w:r>
        <w:rPr>
          <w:rFonts w:cs="Arial" w:ascii="Arial" w:hAnsi="Arial"/>
          <w:sz w:val="22"/>
          <w:szCs w:val="22"/>
        </w:rPr>
        <w:t>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0" w:right="0" w:firstLine="567"/>
        <w:jc w:val="both"/>
        <w:rPr/>
      </w:pPr>
      <w:r>
        <w:rPr>
          <w:rFonts w:cs="Arial" w:ascii="Arial" w:hAnsi="Arial"/>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Style w:val="CharacterStyle2"/>
          <w:rFonts w:cs="Arial" w:ascii="Arial" w:hAnsi="Arial"/>
          <w:b/>
          <w:i w:val="false"/>
        </w:rPr>
        <w:t>3 INFRAESTRUTURA</w:t>
      </w:r>
    </w:p>
    <w:p>
      <w:pPr>
        <w:pStyle w:val="Style8"/>
        <w:bidi w:val="0"/>
        <w:spacing w:lineRule="auto" w:line="276" w:before="113" w:after="113"/>
        <w:ind w:left="0" w:right="0" w:firstLine="567"/>
        <w:jc w:val="left"/>
        <w:rPr/>
      </w:pPr>
      <w:r>
        <w:rPr>
          <w:rStyle w:val="CharacterStyle2"/>
          <w:rFonts w:cs="Arial" w:ascii="Arial" w:hAnsi="Arial"/>
          <w:b/>
          <w:i w:val="false"/>
          <w:iCs w:val="false"/>
        </w:rPr>
        <w:t>LAJE DE CONCRETO ARMADO – RADIER</w:t>
      </w:r>
    </w:p>
    <w:p>
      <w:pPr>
        <w:pStyle w:val="Normal"/>
        <w:bidi w:val="0"/>
        <w:spacing w:lineRule="auto" w:line="276" w:before="113" w:after="113"/>
        <w:ind w:left="0" w:right="0" w:firstLine="567"/>
        <w:jc w:val="both"/>
        <w:rPr/>
      </w:pPr>
      <w:r>
        <w:rPr>
          <w:rStyle w:val="CharacterStyle2"/>
          <w:rFonts w:cs="Arial" w:ascii="Arial" w:hAnsi="Arial"/>
          <w:i w:val="false"/>
          <w:szCs w:val="22"/>
        </w:rPr>
        <w:t>Após a escavação e a regularização do berço com brita zero deverá ser colocado lona plástica em toda área de contato a camada de brita zero a qual a laje tipo radier estará submetida.</w:t>
      </w:r>
    </w:p>
    <w:p>
      <w:pPr>
        <w:pStyle w:val="Normal"/>
        <w:bidi w:val="0"/>
        <w:spacing w:lineRule="auto" w:line="276" w:before="113" w:after="113"/>
        <w:ind w:left="0" w:right="0" w:firstLine="567"/>
        <w:jc w:val="both"/>
        <w:rPr/>
      </w:pPr>
      <w:r>
        <w:rPr>
          <w:rStyle w:val="CharacterStyle2"/>
          <w:rFonts w:cs="Arial" w:ascii="Arial" w:hAnsi="Arial"/>
          <w:i w:val="false"/>
          <w:szCs w:val="22"/>
        </w:rPr>
        <w:t>Antes da colocação da lona plástica deverá ser executado lastro de brita zero a uma espessura mínima de 5 cm.</w:t>
      </w:r>
    </w:p>
    <w:p>
      <w:pPr>
        <w:pStyle w:val="Normal"/>
        <w:bidi w:val="0"/>
        <w:spacing w:lineRule="auto" w:line="276" w:before="113" w:after="113"/>
        <w:ind w:left="0" w:right="0" w:firstLine="567"/>
        <w:jc w:val="both"/>
        <w:rPr/>
      </w:pPr>
      <w:r>
        <w:rPr>
          <w:rFonts w:cs="Arial" w:ascii="Arial" w:hAnsi="Arial"/>
          <w:sz w:val="22"/>
          <w:szCs w:val="22"/>
        </w:rPr>
        <w:t>Transporte comercial de brita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0" w:right="0" w:firstLine="567"/>
        <w:jc w:val="both"/>
        <w:rPr/>
      </w:pPr>
      <w:r>
        <w:rPr>
          <w:rStyle w:val="CharacterStyle2"/>
          <w:rFonts w:cs="Arial" w:ascii="Arial" w:hAnsi="Arial"/>
          <w:i w:val="false"/>
          <w:szCs w:val="22"/>
        </w:rPr>
        <w:t xml:space="preserve">A laje tipo radier em concreto armado terá espessura de 15 cm e </w:t>
      </w:r>
      <w:r>
        <w:rPr>
          <w:rStyle w:val="CharacterStyle2"/>
          <w:rFonts w:cs="Arial" w:ascii="Arial" w:hAnsi="Arial"/>
          <w:b/>
          <w:i w:val="false"/>
          <w:szCs w:val="22"/>
        </w:rPr>
        <w:t>tela dupla (positiva e negativa)</w:t>
      </w:r>
      <w:r>
        <w:rPr>
          <w:rStyle w:val="CharacterStyle2"/>
          <w:rFonts w:cs="Arial" w:ascii="Arial" w:hAnsi="Arial"/>
          <w:i w:val="false"/>
          <w:szCs w:val="22"/>
        </w:rPr>
        <w:t xml:space="preserve"> de aço soldada com malha 15x15 cm de 5 mm, vide detalhe genérico no projeto básico, deverão estar presentes também barras de transferência na </w:t>
      </w:r>
      <w:r>
        <w:rPr>
          <w:rStyle w:val="CharacterStyle2"/>
          <w:rFonts w:cs="Arial" w:ascii="Calibri" w:hAnsi="Calibri"/>
          <w:i w:val="false"/>
          <w:szCs w:val="22"/>
        </w:rPr>
        <w:t xml:space="preserve">Ø 3/4”, </w:t>
      </w:r>
      <w:r>
        <w:rPr>
          <w:rStyle w:val="CharacterStyle2"/>
          <w:rFonts w:cs="Arial" w:ascii="Arial" w:hAnsi="Arial"/>
          <w:i w:val="false"/>
          <w:szCs w:val="22"/>
        </w:rPr>
        <w:t>união com a laje existente, estas serão executadas a cada 50 cm, deverão ser transpassadas no mínimo 40 cm para ambos os lados da ancoragem. Importante a utilização de espaçadores de forma a não permitir que a tela inferior tenha proximidade com a face inferior da laje de concreto.</w:t>
      </w:r>
    </w:p>
    <w:p>
      <w:pPr>
        <w:pStyle w:val="Normal"/>
        <w:bidi w:val="0"/>
        <w:spacing w:lineRule="auto" w:line="276" w:before="113" w:after="113"/>
        <w:ind w:left="0" w:right="0"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25 MPa), com relação ao seu emprego específico e ao equipamento de transporte, lançamento e adensamento do concreto. Este concreto deverá atende a NBR 6118/2014.</w:t>
      </w:r>
    </w:p>
    <w:p>
      <w:pPr>
        <w:pStyle w:val="Normal"/>
        <w:bidi w:val="0"/>
        <w:spacing w:lineRule="auto" w:line="276" w:before="113" w:after="113"/>
        <w:ind w:left="0" w:right="0"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 de prova, tem de ser observadas as disposições das normas técnicas vigentes. </w:t>
      </w:r>
    </w:p>
    <w:p>
      <w:pPr>
        <w:pStyle w:val="Normal"/>
        <w:bidi w:val="0"/>
        <w:spacing w:lineRule="auto" w:line="276" w:before="113" w:after="113"/>
        <w:ind w:left="0" w:right="0"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rStyle w:val="CharacterStyle2"/>
          <w:rFonts w:ascii="Arial" w:hAnsi="Arial" w:cs="Arial"/>
          <w:b/>
          <w:b/>
          <w:i w:val="false"/>
          <w:i w:val="false"/>
          <w:szCs w:val="22"/>
        </w:rPr>
      </w:pPr>
      <w:r>
        <w:rPr>
          <w:rFonts w:cs="Arial" w:ascii="Arial" w:hAnsi="Arial"/>
          <w:b/>
          <w:i w:val="false"/>
          <w:szCs w:val="22"/>
        </w:rPr>
      </w:r>
    </w:p>
    <w:p>
      <w:pPr>
        <w:pStyle w:val="Normal"/>
        <w:bidi w:val="0"/>
        <w:spacing w:lineRule="auto" w:line="276" w:before="113" w:after="113"/>
        <w:ind w:left="0" w:right="0" w:firstLine="567"/>
        <w:jc w:val="both"/>
        <w:rPr/>
      </w:pPr>
      <w:r>
        <w:rPr>
          <w:rStyle w:val="CharacterStyle2"/>
          <w:rFonts w:cs="Arial" w:ascii="Arial" w:hAnsi="Arial"/>
          <w:b/>
          <w:i w:val="false"/>
          <w:szCs w:val="22"/>
        </w:rPr>
        <w:t>4</w:t>
      </w:r>
      <w:r>
        <w:rPr>
          <w:rStyle w:val="CharacterStyle2"/>
          <w:rFonts w:cs="Arial" w:ascii="Arial" w:hAnsi="Arial"/>
          <w:b/>
          <w:i w:val="false"/>
        </w:rPr>
        <w:t xml:space="preserve"> SUPERESTRUTURA</w:t>
      </w:r>
    </w:p>
    <w:p>
      <w:pPr>
        <w:pStyle w:val="Normal"/>
        <w:bidi w:val="0"/>
        <w:spacing w:lineRule="auto" w:line="276" w:before="113" w:after="113"/>
        <w:ind w:left="0" w:right="0" w:firstLine="567"/>
        <w:jc w:val="both"/>
        <w:rPr/>
      </w:pPr>
      <w:r>
        <w:rPr>
          <w:rStyle w:val="CharacterStyle2"/>
          <w:rFonts w:cs="Arial" w:ascii="Arial" w:hAnsi="Arial"/>
          <w:b/>
          <w:i w:val="false"/>
          <w:szCs w:val="22"/>
        </w:rPr>
        <w:t>CONCRETO ARMADO EM ESTRUTURA – FCK = 25 MPA</w:t>
      </w:r>
    </w:p>
    <w:p>
      <w:pPr>
        <w:pStyle w:val="Normal"/>
        <w:bidi w:val="0"/>
        <w:spacing w:lineRule="auto" w:line="276" w:before="113" w:after="113"/>
        <w:ind w:left="0" w:right="0"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20 MPa e FCK 25 MPa), com relação ao seu emprego específico e ao equipamento de transporte, lançamento e adensamento do concreto. Este concreto deverá atende a NBR 6118/1980 (NB-1/1978).</w:t>
      </w:r>
    </w:p>
    <w:p>
      <w:pPr>
        <w:pStyle w:val="Normal"/>
        <w:bidi w:val="0"/>
        <w:spacing w:lineRule="auto" w:line="276" w:before="113" w:after="113"/>
        <w:ind w:left="0" w:right="0"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 de prova, tem de ser observadas as disposições das normas técnicas vigentes. </w:t>
      </w:r>
    </w:p>
    <w:p>
      <w:pPr>
        <w:pStyle w:val="Normal"/>
        <w:bidi w:val="0"/>
        <w:spacing w:lineRule="auto" w:line="276" w:before="113" w:after="113"/>
        <w:ind w:left="0" w:right="0"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pPr>
      <w:r>
        <w:rPr>
          <w:rFonts w:cs="Arial" w:ascii="Arial" w:hAnsi="Arial"/>
          <w:sz w:val="22"/>
          <w:szCs w:val="22"/>
        </w:rPr>
        <w:t xml:space="preserve">Todo o aço empregado para concreto armado será do tipo CA-50 e CA-60. As barras de aço utilizadas para as armaduras das peças de concreto armado serão de bitola 3/8”  para armaduras longitudinais e 5,0 mm para armaduras transversais, bem como sua montagem, deverão atender às prescrições das Normas Brasileiras que regem o assunto. </w:t>
      </w:r>
    </w:p>
    <w:p>
      <w:pPr>
        <w:pStyle w:val="Normal"/>
        <w:bidi w:val="0"/>
        <w:spacing w:lineRule="auto" w:line="276" w:before="113" w:after="113"/>
        <w:ind w:left="0" w:right="0" w:firstLine="567"/>
        <w:jc w:val="both"/>
        <w:rPr/>
      </w:pPr>
      <w:r>
        <w:rPr>
          <w:rFonts w:cs="Arial" w:ascii="Arial" w:hAnsi="Arial"/>
          <w:sz w:val="22"/>
          <w:szCs w:val="22"/>
        </w:rPr>
        <w:t>De modo geral, as barras de aço deverão apresentar suficiente homogeneidade quanto as suas características geométricas e mecânicas, e não apresentar defeitos prejudiciais, tais como bolhas, fissuras, esfoliações e corrosão. As armaduras serão constituídas por vergalhões de aço do tipo CA-50A e fios do tipo CA-60, bitolas especificadas em projeto e deverão obedecer rigorosamente aos preceitos das normas e especificações contidos na NBR 6118/2013. Para efeito de aceitação de cada lote de aço, a Contratada providenciará a realização dos correspondentes ensaios de dobramento e tração, através de laboratório idôneo, de acordo com as NBR ISO 6892/2002 e NBR 6153/1988 da ABNT. Os lotes serão aceitos ou rejeitados de conformidade com os resultados dos ensaios exigidos na NBR 7480/2007.</w:t>
      </w:r>
    </w:p>
    <w:p>
      <w:pPr>
        <w:pStyle w:val="Normal"/>
        <w:bidi w:val="0"/>
        <w:spacing w:lineRule="auto" w:line="276" w:before="113" w:after="113"/>
        <w:ind w:left="0" w:right="0" w:firstLine="567"/>
        <w:jc w:val="both"/>
        <w:rPr/>
      </w:pPr>
      <w:r>
        <w:rPr>
          <w:rFonts w:cs="Arial" w:ascii="Arial" w:hAnsi="Arial"/>
          <w:sz w:val="22"/>
          <w:szCs w:val="22"/>
        </w:rPr>
        <w:t>Para montagem das armaduras, será utilizado o arame recozido n° 18 em laçada dupla, sendo permitida a solda apenas se atendidas condições previstas na NBR 6118/2013.</w:t>
      </w:r>
    </w:p>
    <w:p>
      <w:pPr>
        <w:pStyle w:val="Normal"/>
        <w:bidi w:val="0"/>
        <w:spacing w:lineRule="auto" w:line="276" w:before="113" w:after="113"/>
        <w:ind w:left="0" w:right="0" w:firstLine="567"/>
        <w:jc w:val="both"/>
        <w:rPr/>
      </w:pPr>
      <w:r>
        <w:rPr>
          <w:rFonts w:cs="Arial" w:ascii="Arial" w:hAnsi="Arial"/>
          <w:sz w:val="22"/>
          <w:szCs w:val="22"/>
        </w:rPr>
        <w:t>A Contratada deverá executar todas as armaduras de aço, incluindo estribos, fixadores, arames, amarrações e barras de ancoragem, travas, emendas por superposição ou solda, e tudo o mais que for necessário, para a perfeita execução desses serviços de acordo, com as indicações do projeto ou determinações da Fiscalização.</w:t>
      </w:r>
    </w:p>
    <w:p>
      <w:pPr>
        <w:pStyle w:val="Normal"/>
        <w:bidi w:val="0"/>
        <w:spacing w:lineRule="auto" w:line="276" w:before="113" w:after="113"/>
        <w:ind w:left="0" w:right="0" w:firstLine="567"/>
        <w:jc w:val="both"/>
        <w:rPr/>
      </w:pPr>
      <w:r>
        <w:rPr>
          <w:rFonts w:cs="Arial" w:ascii="Arial" w:hAnsi="Arial"/>
          <w:sz w:val="22"/>
          <w:szCs w:val="22"/>
        </w:rPr>
        <w:t>Para armaduras de espera, indicadas em projeto, utilizar revestimento polimérico inibidor de corrosão para proteger suas extremidades, empregando-o da seguinte forma: como substrato, devendo as armaduras estar limpas e isentas de ferrugem, óleo, graxa, nata de cimento e outras substâncias incrustas, mediante lixamento ou jateamento de areia; como aplicador, garantida a perfeita mistura ao aplicar o revestimento inibidor de corrosão com trincha de cerdas médias, até atingir a espessura aproximada de 0,5mm. A segunda demão será feita em 2 ou 3 horas após a primeira, ficando a espessura final de película para duas demãos estimada em 1mm.</w:t>
      </w:r>
    </w:p>
    <w:p>
      <w:pPr>
        <w:pStyle w:val="Normal"/>
        <w:bidi w:val="0"/>
        <w:spacing w:lineRule="auto" w:line="276" w:before="113" w:after="113"/>
        <w:ind w:left="0" w:right="0" w:firstLine="567"/>
        <w:jc w:val="both"/>
        <w:rPr/>
      </w:pPr>
      <w:r>
        <w:rPr>
          <w:rFonts w:cs="Arial" w:ascii="Arial" w:hAnsi="Arial"/>
          <w:sz w:val="22"/>
          <w:szCs w:val="22"/>
        </w:rPr>
        <w:t>As armaduras serão de preferência revestidas em toda a superfície com o revestimento inibidor de corrosão. É recomendável que as superfícies de concreto adjacentes às armaduras tratadas com o revestimento inibidor de corrosão, também sejam revestidas com o mesmo material, em duas demãos, aplicadas a trincha.</w:t>
      </w:r>
    </w:p>
    <w:p>
      <w:pPr>
        <w:pStyle w:val="Normal"/>
        <w:bidi w:val="0"/>
        <w:spacing w:lineRule="auto" w:line="276" w:before="113" w:after="113"/>
        <w:ind w:left="0" w:right="0" w:firstLine="567"/>
        <w:jc w:val="both"/>
        <w:rPr/>
      </w:pPr>
      <w:r>
        <w:rPr>
          <w:rFonts w:cs="Arial" w:ascii="Arial" w:hAnsi="Arial"/>
          <w:sz w:val="22"/>
          <w:szCs w:val="22"/>
        </w:rPr>
        <w:t>Estrutura de suporte provisória, composta por um conjunto de elementos que apoiam as fôrmas horizontais (vigas), suportando as cargas atuantes (peso próprio do concreto, movimentação de operários e equipamentos etc.) e transmitindo-as ao piso ou ao pavimento inferior. Para tanto, deve ser dimensionado, entre outras coisas, em função da magnitude de carga a ser transferida, do pé-direito e da resistência do material utilizado.</w:t>
      </w:r>
    </w:p>
    <w:p>
      <w:pPr>
        <w:pStyle w:val="Normal"/>
        <w:bidi w:val="0"/>
        <w:spacing w:lineRule="auto" w:line="276" w:before="113" w:after="113"/>
        <w:ind w:left="0" w:right="0" w:firstLine="567"/>
        <w:jc w:val="both"/>
        <w:rPr/>
      </w:pPr>
      <w:r>
        <w:rPr>
          <w:rFonts w:cs="Arial" w:ascii="Arial" w:hAnsi="Arial"/>
          <w:b w:val="false"/>
          <w:bCs w:val="false"/>
          <w:sz w:val="22"/>
          <w:szCs w:val="22"/>
        </w:rPr>
        <w:t>Após a concretagem, inicia-se o processo de endurecimento do concreto, quando as peças atingem a condição de serem autoportantes, até atingirem a resistência para a qual foram projetadas (aos 28 dias). A fim de liberar a maioria das peças de cimbramento para o próximo uso, posicionar novas escoras e depois desmontar as demais peças para uso na próxima.</w:t>
      </w:r>
    </w:p>
    <w:p>
      <w:pPr>
        <w:pStyle w:val="Normal"/>
        <w:widowControl/>
        <w:bidi w:val="0"/>
        <w:spacing w:lineRule="auto" w:line="276" w:before="113" w:after="113"/>
        <w:ind w:left="0" w:right="0" w:firstLine="567"/>
        <w:jc w:val="both"/>
        <w:rPr/>
      </w:pPr>
      <w:r>
        <w:rPr>
          <w:rStyle w:val="CharacterStyle2"/>
          <w:rFonts w:cs="Arial" w:ascii="Arial" w:hAnsi="Arial"/>
          <w:b/>
          <w:bCs/>
          <w:i w:val="false"/>
          <w:szCs w:val="22"/>
        </w:rPr>
        <w:t>LAJE PRÉ-FABRICADA</w:t>
      </w:r>
    </w:p>
    <w:p>
      <w:pPr>
        <w:pStyle w:val="Normal"/>
        <w:widowControl/>
        <w:bidi w:val="0"/>
        <w:spacing w:lineRule="auto" w:line="276" w:before="113" w:after="113"/>
        <w:ind w:left="0" w:right="0" w:firstLine="567"/>
        <w:jc w:val="both"/>
        <w:rPr/>
      </w:pPr>
      <w:r>
        <w:rPr>
          <w:rStyle w:val="CharacterStyle2"/>
          <w:rFonts w:cs="Arial" w:ascii="Arial" w:hAnsi="Arial"/>
          <w:b w:val="false"/>
          <w:bCs w:val="false"/>
          <w:i w:val="false"/>
          <w:szCs w:val="22"/>
        </w:rPr>
        <w:t>As lajes de cobertura serão do tipo pré-moldadas, com espessura de 12 cm, compostas por vigotas de concreto, preenchimento com EPS e capa de concreto armado com resistência a compressão igual a 200 kg/cm² (fck=20MPa) armadas conforme projeto estrutural.</w:t>
      </w:r>
    </w:p>
    <w:p>
      <w:pPr>
        <w:pStyle w:val="Normal"/>
        <w:widowControl/>
        <w:bidi w:val="0"/>
        <w:spacing w:lineRule="auto" w:line="276" w:before="113" w:after="113"/>
        <w:ind w:left="0" w:right="0" w:firstLine="567"/>
        <w:jc w:val="both"/>
        <w:rPr/>
      </w:pPr>
      <w:r>
        <w:rPr>
          <w:rStyle w:val="CharacterStyle2"/>
          <w:rFonts w:cs="Arial" w:ascii="Arial" w:hAnsi="Arial"/>
          <w:b w:val="false"/>
          <w:bCs w:val="false"/>
          <w:i w:val="false"/>
          <w:szCs w:val="22"/>
        </w:rPr>
        <w:t xml:space="preserve">O escoramento das lajes será realizado com escoras de eucaliptos ou metálicas e réguas de pinus, a desforma será executada conforme as técnicas de construção. </w:t>
      </w:r>
    </w:p>
    <w:p>
      <w:pPr>
        <w:pStyle w:val="Normal"/>
        <w:widowControl/>
        <w:bidi w:val="0"/>
        <w:spacing w:lineRule="auto" w:line="276" w:before="113" w:after="113"/>
        <w:ind w:left="0" w:right="0" w:firstLine="567"/>
        <w:jc w:val="both"/>
        <w:rPr/>
      </w:pPr>
      <w:r>
        <w:rPr>
          <w:rStyle w:val="CharacterStyle2"/>
          <w:rFonts w:cs="Arial" w:ascii="Arial" w:hAnsi="Arial"/>
          <w:b/>
          <w:bCs/>
          <w:i w:val="false"/>
          <w:szCs w:val="22"/>
        </w:rPr>
        <w:t>VERGAS E CONTRAVERGAS</w:t>
      </w:r>
    </w:p>
    <w:p>
      <w:pPr>
        <w:pStyle w:val="Normal"/>
        <w:bidi w:val="0"/>
        <w:spacing w:lineRule="auto" w:line="276" w:before="113" w:after="113"/>
        <w:ind w:left="0" w:right="0" w:firstLine="567"/>
        <w:jc w:val="both"/>
        <w:rPr>
          <w:rFonts w:ascii="Arial" w:hAnsi="Arial" w:cs="Arial"/>
        </w:rPr>
      </w:pPr>
      <w:r>
        <w:rPr>
          <w:rStyle w:val="CharacterStyle2"/>
          <w:rFonts w:cs="Arial" w:ascii="Arial" w:hAnsi="Arial"/>
          <w:b w:val="false"/>
          <w:bCs w:val="false"/>
          <w:i w:val="false"/>
          <w:iCs w:val="false"/>
          <w:spacing w:val="2"/>
          <w:sz w:val="22"/>
          <w:szCs w:val="22"/>
        </w:rPr>
        <w:t>Verga e contraverga 10x10 cm em concreto armado Fck = 20 MPa (preparo mecânico), aço CA 50, estribos Ø 5 mm e Ø 5/16” mm na longitudinal com formas tábua de pinho 3ª categoria</w:t>
      </w:r>
      <w:r>
        <w:rPr>
          <w:rStyle w:val="CharacterStyle2"/>
          <w:rFonts w:cs="Arial" w:ascii="Arial" w:hAnsi="Arial"/>
          <w:b w:val="false"/>
          <w:bCs w:val="false"/>
          <w:i w:val="false"/>
          <w:iCs w:val="false"/>
          <w:spacing w:val="2"/>
          <w:szCs w:val="22"/>
        </w:rPr>
        <w:t>, considerando comprimento total da largura das esquadrias com traspasse de 20 cm para cada lado.</w:t>
      </w:r>
    </w:p>
    <w:p>
      <w:pPr>
        <w:pStyle w:val="Style8"/>
        <w:bidi w:val="0"/>
        <w:spacing w:lineRule="auto" w:line="276" w:before="113" w:after="113"/>
        <w:ind w:left="0" w:right="0" w:firstLine="567"/>
        <w:jc w:val="left"/>
        <w:rPr>
          <w:rStyle w:val="CharacterStyle2"/>
          <w:rFonts w:ascii="Arial" w:hAnsi="Arial" w:cs="Arial"/>
          <w:b/>
          <w:b/>
          <w:spacing w:val="2"/>
        </w:rPr>
      </w:pPr>
      <w:r>
        <w:rPr>
          <w:rFonts w:cs="Arial" w:ascii="Arial" w:hAnsi="Arial"/>
          <w:b/>
          <w:spacing w:val="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rPr>
        <w:t>5 PAREDES E PAINÉIS</w:t>
      </w:r>
    </w:p>
    <w:p>
      <w:pPr>
        <w:pStyle w:val="Normal"/>
        <w:bidi w:val="0"/>
        <w:spacing w:lineRule="auto" w:line="276" w:before="113" w:after="113"/>
        <w:ind w:left="0" w:right="0" w:firstLine="567"/>
        <w:jc w:val="left"/>
        <w:rPr/>
      </w:pPr>
      <w:r>
        <w:rPr>
          <w:rFonts w:cs="Arial" w:ascii="Arial" w:hAnsi="Arial"/>
          <w:b/>
          <w:sz w:val="22"/>
          <w:szCs w:val="22"/>
        </w:rPr>
        <w:t xml:space="preserve">ALVENARIA COM TIJOLO CERÂMICO 8 FUROS </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deverão ser executadas em conformidade com o projeto de arquitetura, obedecendo-o quanto as suas espessuras e pés direitos, utilizando mão de obra qualificada, dentro da melhor técnica e segundo as normas que forem aplicáveis. As espessuras das alvenarias indicadas nos desenhos referem-se às paredes depois de revestidas. As fiadas deverão ser executadas rigorosamente em nível, alinhadas e aprumadas. Quando de sua execução deverão ser deixados embutidos todos os elementos necessários à fixação de esquadrias e demais elementos que se fizerem necessários.</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serão executadas com tijolos cerâmicos de 08 furos, de boa qualidade, sonoros e bem cozidos, 1/2 vez, assentados com traço volumétrico 1:2:8 de cimento, cal em pasta e areia média peneirada. Os tijolos deverão ser cuidadosamente molhados antes de sua colocação. As juntas terão espessura máxima de 15 mm e serão rebaixadas, à ponta de colher, para que o emboço adira fortemente. Nos vãos de portas, deverão ser executadas vergas ou taipas dimensionadas de acordo com o vão específico de cada porta. Nas esquadrias, quando necessário, deverão ser executadas também vergas em concreto, dimensionadas para cada vão específico.</w:t>
      </w:r>
    </w:p>
    <w:p>
      <w:pPr>
        <w:pStyle w:val="Normal"/>
        <w:bidi w:val="0"/>
        <w:spacing w:lineRule="auto" w:line="276" w:before="113" w:after="113"/>
        <w:ind w:left="0" w:right="0" w:firstLine="567"/>
        <w:jc w:val="both"/>
        <w:rPr/>
      </w:pPr>
      <w:r>
        <w:rPr>
          <w:rFonts w:cs="Arial" w:ascii="Arial" w:hAnsi="Arial"/>
          <w:sz w:val="22"/>
          <w:szCs w:val="22"/>
        </w:rPr>
        <w:t>Se a superfície de apoio estiver na cota do terreno ou lhe for ligeiramente superior, antes do assentamento da primeira camada de argamassa para tijolos da primeira fiada, será executada uma camada de betume e areia.</w:t>
      </w:r>
    </w:p>
    <w:p>
      <w:pPr>
        <w:pStyle w:val="Normal"/>
        <w:bidi w:val="0"/>
        <w:spacing w:lineRule="auto" w:line="276" w:before="113" w:after="113"/>
        <w:ind w:left="0" w:right="0" w:firstLine="567"/>
        <w:jc w:val="both"/>
        <w:rPr/>
      </w:pPr>
      <w:r>
        <w:rPr>
          <w:rFonts w:cs="Arial" w:ascii="Arial" w:hAnsi="Arial"/>
          <w:sz w:val="22"/>
          <w:szCs w:val="22"/>
        </w:rPr>
        <w:t>As alvenarias sobre a laje radier de fundação deverão receber aditivo impermeabilizante na argamassa, nas suas 03 primeiras fiadas.</w:t>
      </w:r>
    </w:p>
    <w:p>
      <w:pPr>
        <w:pStyle w:val="Style8"/>
        <w:widowControl w:val="false"/>
        <w:bidi w:val="0"/>
        <w:spacing w:lineRule="auto" w:line="276" w:before="113" w:after="113"/>
        <w:ind w:left="0" w:right="0" w:firstLine="567"/>
        <w:jc w:val="both"/>
        <w:rPr>
          <w:rStyle w:val="CharacterStyle2"/>
          <w:rFonts w:cs="Arial"/>
          <w:b/>
          <w:b/>
          <w:spacing w:val="2"/>
          <w:szCs w:val="22"/>
        </w:rPr>
      </w:pPr>
      <w:r>
        <w:rPr>
          <w:rFonts w:cs="Arial"/>
          <w:b/>
          <w:spacing w:val="2"/>
          <w:szCs w:val="22"/>
        </w:rPr>
      </w:r>
    </w:p>
    <w:p>
      <w:pPr>
        <w:pStyle w:val="Style8"/>
        <w:widowControl w:val="false"/>
        <w:bidi w:val="0"/>
        <w:spacing w:lineRule="auto" w:line="276" w:before="113" w:after="113"/>
        <w:ind w:left="0" w:right="0" w:firstLine="567"/>
        <w:jc w:val="both"/>
        <w:rPr/>
      </w:pPr>
      <w:r>
        <w:rPr>
          <w:rStyle w:val="CharacterStyle2"/>
          <w:rFonts w:cs="Arial" w:ascii="Arial" w:hAnsi="Arial"/>
          <w:b/>
          <w:i w:val="false"/>
          <w:iCs w:val="false"/>
          <w:spacing w:val="2"/>
          <w:sz w:val="22"/>
          <w:szCs w:val="22"/>
        </w:rPr>
        <w:t>6 IMPERMEABILIZAÇÃO</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pPr>
      <w:r>
        <w:rPr>
          <w:rFonts w:cs="Arial" w:ascii="Arial" w:hAnsi="Arial"/>
          <w:sz w:val="22"/>
          <w:szCs w:val="22"/>
        </w:rPr>
        <w:t>As impermeabilizações serão executadas por pessoal habilitado, cabendo à CONTRATADA fazer prova, perante a CONTRATANTE, desse fato, mediante atestado fornecido pelos fabricantes dos produtos especificados para cada tipo de sistema. Quando as circunstâncias ou as condições locais se verificarem tais que tornem aconselhável o emprego de sistema diverso do previsto nas especificações, serão tais circunstâncias constatadas pela fiscalização, sendo adotado o sistema mais adequado ao caso, mediante prévios entendimentos com a CONTRATANTE. Os serviços deverão obedecer rigorosamente às normas da ABNT, especialmente as seguintes: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NB-279/75 - Seleção de Impermeabilização</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NB-987/85 - Elaboração de Projetos de Impermeabilização (NBR 9575)</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NB-1308/85 - Execução de Impermeabilização (NBR 9574)</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Devem ser impermeabilizadas todas as vigas baldrame, com aplicação de tinta betuminosa a frio (hidroasfalto) em duas demãos.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cs="Arial"/>
        </w:rPr>
      </w:pPr>
      <w:r>
        <w:rPr>
          <w:rFonts w:cs="Arial"/>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7 REVES</w:t>
      </w:r>
      <w:r>
        <w:rPr>
          <w:rStyle w:val="CharacterStyle2"/>
          <w:rFonts w:cs="Arial" w:ascii="Arial" w:hAnsi="Arial"/>
          <w:b/>
          <w:i w:val="false"/>
          <w:iCs w:val="false"/>
          <w:color w:val="00000A"/>
          <w:spacing w:val="2"/>
          <w:sz w:val="22"/>
          <w:szCs w:val="22"/>
        </w:rPr>
        <w:t>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observadas as normas da ABNT pertinentes ao assunto, em particular a NB-231, além do que segue: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os revestimentos deverão apresentar paramentos perfeitamente desempenados e aprumados;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caso necessário, a base deverá ser regularizada;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 superfície a revestir deverá ser limpa, livre de pó, graxas, óleo ou resíduos orgânicos.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13" w:after="113"/>
        <w:ind w:left="0" w:right="0" w:firstLine="567"/>
        <w:jc w:val="both"/>
        <w:rPr/>
      </w:pPr>
      <w:r>
        <w:rPr>
          <w:rFonts w:cs="Arial" w:ascii="Arial" w:hAnsi="Arial"/>
          <w:sz w:val="22"/>
          <w:szCs w:val="22"/>
        </w:rPr>
        <w:t>As superfícies deverão ser abundantemente molhadas com o emprego de jato d’água, antes da aplicação do chapisco. Qualquer camada de revestimento só poderá se aplicada quando a anterior estiver suficientemente firme. A aplicação de cada nova camada de revestimento exigirá a umidificação da camada anterior.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externos não poderão ser executados quando a superfície estiver sujeita à ação das chuvas e sem nenhuma proteção.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Nas ocasiões de temperatura elevada, os revestimentos externos executados na jornada de trabalho deverão ter suas superfícies molhada ao término desta.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13" w:after="113"/>
        <w:ind w:left="0" w:right="0" w:firstLine="567"/>
        <w:jc w:val="both"/>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Detalhes de paginação,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rFonts w:ascii="Arial" w:hAnsi="Arial"/>
          <w:szCs w:val="22"/>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chapiscos serão executados com argamassa de cimento e areia no traço 1:3 (sem cal), na espessura de 5 mm, aplicado energicamente sobre o substrato com a colher de pedreiro com solução polimérica (adesivo) com preparo manual.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superfícies destinadas a receber o chapisco serão limpas, a vassoura e abundantemente molhadas antes de receber a aplicação deste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b/>
          <w:sz w:val="22"/>
          <w:szCs w:val="22"/>
        </w:rPr>
        <w:t>AZULEJO PADRÃO MÉDIO 25X40 cm</w:t>
      </w:r>
    </w:p>
    <w:p>
      <w:pPr>
        <w:pStyle w:val="Normal"/>
        <w:bidi w:val="0"/>
        <w:spacing w:lineRule="auto" w:line="276" w:before="113" w:after="113"/>
        <w:ind w:left="0" w:right="0" w:firstLine="567"/>
        <w:jc w:val="both"/>
        <w:rPr/>
      </w:pPr>
      <w:r>
        <w:rPr>
          <w:rFonts w:cs="Arial" w:ascii="Arial" w:hAnsi="Arial"/>
          <w:b w:val="false"/>
          <w:bCs w:val="false"/>
          <w:sz w:val="22"/>
          <w:szCs w:val="22"/>
        </w:rPr>
        <w:t xml:space="preserve">Deverão ser na cor branco e liso, assentado sobre argamassa colante pré-fabricada. Serão colocados até o teto nos Sanitários, cozinha e lavanderia. </w:t>
      </w:r>
    </w:p>
    <w:p>
      <w:pPr>
        <w:pStyle w:val="Normal"/>
        <w:bidi w:val="0"/>
        <w:spacing w:lineRule="auto" w:line="276" w:before="113" w:after="113"/>
        <w:ind w:left="0" w:right="0" w:firstLine="567"/>
        <w:jc w:val="both"/>
        <w:rPr>
          <w:rStyle w:val="CharacterStyle2"/>
          <w:rFonts w:ascii="Arial" w:hAnsi="Arial" w:cs="Arial"/>
          <w:b w:val="false"/>
          <w:b w:val="false"/>
          <w:bCs w:val="false"/>
          <w:i w:val="false"/>
          <w:i w:val="false"/>
          <w:iCs w:val="false"/>
          <w:spacing w:val="2"/>
          <w:sz w:val="22"/>
        </w:rPr>
      </w:pPr>
      <w:r>
        <w:rPr>
          <w:rFonts w:cs="Arial" w:ascii="Arial" w:hAnsi="Arial"/>
          <w:b w:val="false"/>
          <w:bCs w:val="false"/>
          <w:i w:val="false"/>
          <w:iCs w:val="false"/>
          <w:spacing w:val="2"/>
          <w:sz w:val="22"/>
        </w:rPr>
      </w:r>
    </w:p>
    <w:p>
      <w:pPr>
        <w:pStyle w:val="Normal"/>
        <w:bidi w:val="0"/>
        <w:spacing w:lineRule="auto" w:line="276" w:before="113" w:after="113"/>
        <w:ind w:left="0" w:right="0" w:firstLine="567"/>
        <w:jc w:val="both"/>
        <w:rPr>
          <w:rStyle w:val="CharacterStyle2"/>
          <w:rFonts w:ascii="Arial" w:hAnsi="Arial" w:cs="Arial"/>
          <w:b w:val="false"/>
          <w:b w:val="false"/>
          <w:bCs w:val="false"/>
          <w:i w:val="false"/>
          <w:i w:val="false"/>
          <w:iCs w:val="false"/>
          <w:spacing w:val="2"/>
          <w:sz w:val="22"/>
        </w:rPr>
      </w:pPr>
      <w:r>
        <w:rPr>
          <w:rFonts w:cs="Arial" w:ascii="Arial" w:hAnsi="Arial"/>
          <w:b w:val="false"/>
          <w:bCs w:val="false"/>
          <w:i w:val="false"/>
          <w:iCs w:val="false"/>
          <w:spacing w:val="2"/>
          <w:sz w:val="22"/>
        </w:rPr>
      </w:r>
    </w:p>
    <w:p>
      <w:pPr>
        <w:pStyle w:val="Normal"/>
        <w:bidi w:val="0"/>
        <w:spacing w:lineRule="auto" w:line="276" w:before="113" w:after="113"/>
        <w:ind w:left="0" w:right="0" w:firstLine="567"/>
        <w:jc w:val="both"/>
        <w:rPr>
          <w:rStyle w:val="CharacterStyle2"/>
          <w:rFonts w:ascii="Arial" w:hAnsi="Arial" w:cs="Arial"/>
          <w:b w:val="false"/>
          <w:b w:val="false"/>
          <w:bCs w:val="false"/>
          <w:i w:val="false"/>
          <w:i w:val="false"/>
          <w:iCs w:val="false"/>
          <w:spacing w:val="2"/>
          <w:sz w:val="22"/>
        </w:rPr>
      </w:pPr>
      <w:r>
        <w:rPr>
          <w:rFonts w:cs="Arial" w:ascii="Arial" w:hAnsi="Arial"/>
          <w:b w:val="false"/>
          <w:bCs w:val="false"/>
          <w:i w:val="false"/>
          <w:iCs w:val="false"/>
          <w:spacing w:val="2"/>
          <w:sz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 xml:space="preserve">8 </w:t>
      </w:r>
      <w:r>
        <w:rPr>
          <w:rStyle w:val="CharacterStyle2"/>
          <w:rFonts w:cs="Arial" w:ascii="Arial" w:hAnsi="Arial"/>
          <w:b/>
          <w:i w:val="false"/>
          <w:iCs w:val="false"/>
          <w:color w:val="00000A"/>
          <w:spacing w:val="2"/>
          <w:sz w:val="22"/>
          <w:szCs w:val="22"/>
        </w:rPr>
        <w:t>COBERTURA</w:t>
      </w:r>
    </w:p>
    <w:p>
      <w:pPr>
        <w:pStyle w:val="Lista"/>
        <w:bidi w:val="0"/>
        <w:spacing w:lineRule="auto" w:line="276" w:before="113" w:after="113"/>
        <w:ind w:left="0" w:right="0" w:firstLine="567"/>
        <w:jc w:val="both"/>
        <w:rPr/>
      </w:pPr>
      <w:r>
        <w:rPr>
          <w:rFonts w:cs="Arial" w:ascii="Arial" w:hAnsi="Arial"/>
          <w:color w:val="00000A"/>
          <w:sz w:val="22"/>
          <w:szCs w:val="22"/>
        </w:rPr>
        <w:t xml:space="preserve">Sobre as áreas a serem ampliadas deverá ser executado cobertura com telhas de fibrocimento com estrutura de madeira de boa qualidade, tipo cambará, pontaletada sobre a laje. </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Obs. Não será aceita madeira eucalipto ou pinus.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projeto de cobertura e telhado deverá obedecer à NBR-6120 (NB-5) e NBR-6123 (NB-599), no que for aplicável ao caso.</w:t>
      </w:r>
    </w:p>
    <w:p>
      <w:pPr>
        <w:pStyle w:val="Normal"/>
        <w:bidi w:val="0"/>
        <w:spacing w:lineRule="auto" w:line="276" w:before="113" w:after="113"/>
        <w:ind w:left="0" w:right="0" w:firstLine="567"/>
        <w:jc w:val="both"/>
        <w:rPr/>
      </w:pPr>
      <w:r>
        <w:rPr>
          <w:rFonts w:cs="Arial" w:ascii="Arial" w:hAnsi="Arial"/>
          <w:sz w:val="22"/>
          <w:szCs w:val="22"/>
        </w:rPr>
        <w:t>O trânsito, durante a execução dos serviços, deverá ser feito sobre tábuas, nunca sobre telhas. Os funcionários que realizarem este serviço deverão fazer uso de EPIs, principalmente cinto de segurança.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vedações serão efetuadas com calafetador que mantenha flexibilidade permanente e apresente alta aderência e resistência à água e à ação do tempo. Todo o conjunto de fixação está incluso no orçamento juntamente com as telhas.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colocação das telhas deverá seguir as recomendações do Fabricante.</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A madeira a ser utilizada, para formar as estruturas dos telhados, deverá ser imunizada com produto que elimine a eventual presença de cupins ou outros insetos e pragas e devem apresentar garantia de no mínimo 5 anos.</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A execução dos serviços de cobertura deverão seguir projeto específico de estrutura, bem como seu memorial descritivo e especificações.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Serão empregadas telhas de fibrocimento onduladas 6 mm, de acordo com as medidas da planta de cobertura, procedência de primeira qualidade, sujeitas à aprovação da Fiscalização.</w:t>
      </w:r>
    </w:p>
    <w:p>
      <w:pPr>
        <w:pStyle w:val="Normal"/>
        <w:bidi w:val="0"/>
        <w:spacing w:lineRule="auto" w:line="276" w:before="113" w:after="113"/>
        <w:ind w:left="0" w:right="0" w:firstLine="567"/>
        <w:jc w:val="both"/>
        <w:rPr/>
      </w:pPr>
      <w:r>
        <w:rPr>
          <w:rFonts w:cs="Arial" w:ascii="Arial" w:hAnsi="Arial"/>
          <w:sz w:val="22"/>
          <w:szCs w:val="22"/>
        </w:rPr>
        <w:t>Todos os acessórios e arremates, como parafusos, arruelas e cumeeiras, serão obrigatoriamente da mesma procedência e marca das telhas empregadas, para evitar problemas de concordância. As telhas e os acessórios deverão apresentar uniformidade e serão isentos de defeitos, tais como furos, rasgos, cantos quebrados, fissuras, protuberâncias, depressões e grandes manchas.</w:t>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CALHAS E RUFOS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Materiais empregados:</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Rufos de alumínio, espessura 0,7 mm;</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Calhas em alumínio, espessura 0,7 mm;</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Rebites e silicone.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emendas dos rufos e das calhas deverão ter no mínimo 150 mm de sobreposição, e as calhas deverão ter declividade mínima de 0,5%.</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Normal"/>
        <w:bidi w:val="0"/>
        <w:spacing w:lineRule="auto" w:line="276" w:before="113" w:after="113"/>
        <w:ind w:left="0" w:right="0" w:firstLine="567"/>
        <w:jc w:val="both"/>
        <w:rPr/>
      </w:pPr>
      <w:r>
        <w:rPr>
          <w:rFonts w:cs="Arial" w:ascii="Arial" w:hAnsi="Arial"/>
          <w:b/>
          <w:sz w:val="22"/>
          <w:szCs w:val="22"/>
        </w:rPr>
        <w:t>9 BANCADAS E PEITORIS</w:t>
      </w:r>
    </w:p>
    <w:p>
      <w:pPr>
        <w:pStyle w:val="Corpodetexto"/>
        <w:bidi w:val="0"/>
        <w:spacing w:lineRule="auto" w:line="276" w:before="113" w:after="113"/>
        <w:ind w:left="0" w:right="0" w:firstLine="567"/>
        <w:jc w:val="both"/>
        <w:rPr/>
      </w:pPr>
      <w:r>
        <w:rPr>
          <w:rStyle w:val="CharacterStyle2"/>
          <w:rFonts w:cs="Arial" w:ascii="Arial" w:hAnsi="Arial"/>
          <w:b w:val="false"/>
          <w:bCs w:val="false"/>
          <w:i w:val="false"/>
          <w:iCs w:val="false"/>
          <w:color w:val="00000A"/>
          <w:spacing w:val="2"/>
          <w:sz w:val="22"/>
          <w:szCs w:val="22"/>
        </w:rPr>
        <w:t>Os tampos e peitoris serão em granito polido cor “cinza andorinha” com pingadeiras. Todas as peças de granito devem receber polimento molhado em 100%, receber camada de resina especial para proteção e apresentar uma superfície livre de imperfeições, orifícios e irregularidades na tonalidade. Deve ser submetida à fiscalização amostra não retornável do granito a ser utilizado, de modo que a fiscalização possa acompanhar a colocação das pedras e garantir um padrão nas tonalidades e acabamentos. As mesmas serão fixadas sobre mão francesa em aço galvanizado.</w:t>
      </w:r>
    </w:p>
    <w:p>
      <w:pPr>
        <w:pStyle w:val="Normal"/>
        <w:widowControl/>
        <w:numPr>
          <w:ilvl w:val="0"/>
          <w:numId w:val="0"/>
        </w:numPr>
        <w:tabs>
          <w:tab w:val="left" w:pos="0" w:leader="none"/>
        </w:tabs>
        <w:overflowPunct w:val="true"/>
        <w:bidi w:val="0"/>
        <w:spacing w:lineRule="auto" w:line="276" w:before="113" w:after="113"/>
        <w:ind w:left="2665" w:right="0" w:firstLine="454"/>
        <w:jc w:val="both"/>
        <w:textAlignment w:val="baseline"/>
        <w:rPr>
          <w:rFonts w:ascii="Arial" w:hAnsi="Arial" w:cs="Arial"/>
          <w:i w:val="false"/>
          <w:i w:val="false"/>
          <w:iCs w:val="false"/>
          <w:sz w:val="22"/>
          <w:szCs w:val="16"/>
        </w:rPr>
      </w:pPr>
      <w:r>
        <w:rPr>
          <w:rFonts w:cs="Arial" w:ascii="Arial" w:hAnsi="Arial"/>
          <w:i w:val="false"/>
          <w:iCs w:val="false"/>
          <w:sz w:val="22"/>
          <w:szCs w:val="16"/>
        </w:rPr>
      </w:r>
    </w:p>
    <w:p>
      <w:pPr>
        <w:pStyle w:val="Normal"/>
        <w:bidi w:val="0"/>
        <w:spacing w:lineRule="auto" w:line="276" w:before="113" w:after="113"/>
        <w:ind w:left="0" w:right="0" w:firstLine="567"/>
        <w:jc w:val="left"/>
        <w:rPr/>
      </w:pPr>
      <w:r>
        <w:rPr>
          <w:rStyle w:val="CharacterStyle2"/>
          <w:rFonts w:cs="Arial" w:ascii="Arial" w:hAnsi="Arial"/>
          <w:b/>
          <w:i w:val="false"/>
          <w:iCs w:val="false"/>
          <w:spacing w:val="2"/>
        </w:rPr>
        <w:t>10 ESQUADRIAS</w:t>
      </w:r>
    </w:p>
    <w:p>
      <w:pPr>
        <w:pStyle w:val="Normal"/>
        <w:bidi w:val="0"/>
        <w:spacing w:lineRule="auto" w:line="276" w:before="113" w:after="113"/>
        <w:ind w:left="0" w:right="0" w:firstLine="567"/>
        <w:jc w:val="both"/>
        <w:rPr/>
      </w:pPr>
      <w:r>
        <w:rPr>
          <w:rFonts w:cs="Arial" w:ascii="Arial" w:hAnsi="Arial"/>
          <w:sz w:val="22"/>
          <w:szCs w:val="22"/>
        </w:rPr>
        <w:t>Todos os trabalhos de esquadrias deverão ser realizados com a maior perfeição, mediante o emprego de mão de obra especializada, de primeira qualidade.</w:t>
      </w:r>
    </w:p>
    <w:p>
      <w:pPr>
        <w:pStyle w:val="Normal"/>
        <w:bidi w:val="0"/>
        <w:spacing w:lineRule="auto" w:line="276" w:before="113" w:after="113"/>
        <w:ind w:left="0" w:right="0" w:firstLine="567"/>
        <w:jc w:val="both"/>
        <w:rPr/>
      </w:pPr>
      <w:r>
        <w:rPr>
          <w:rFonts w:cs="Arial" w:ascii="Arial" w:hAnsi="Arial"/>
          <w:sz w:val="22"/>
          <w:szCs w:val="22"/>
        </w:rPr>
        <w:t>O material a empregar deverá ser novo, limpo, perfeitamente desempenado e sem nenhum defeito de fabricação.</w:t>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PORTAS DE MADEIRA</w:t>
      </w:r>
    </w:p>
    <w:p>
      <w:pPr>
        <w:pStyle w:val="Normal"/>
        <w:bidi w:val="0"/>
        <w:spacing w:lineRule="auto" w:line="276" w:before="113" w:after="113"/>
        <w:ind w:left="0" w:right="0" w:firstLine="567"/>
        <w:jc w:val="both"/>
        <w:rPr/>
      </w:pPr>
      <w:r>
        <w:rPr>
          <w:rFonts w:cs="Arial" w:ascii="Arial" w:hAnsi="Arial"/>
          <w:sz w:val="22"/>
          <w:szCs w:val="22"/>
        </w:rPr>
        <w:t>Todas as esquadrias devem seguir especificações constantes na tabela de esquadrias. Detalhamento, quando necessário, será fornecido em momento oportuno pela fiscalização.</w:t>
      </w:r>
    </w:p>
    <w:p>
      <w:pPr>
        <w:pStyle w:val="Normal"/>
        <w:bidi w:val="0"/>
        <w:spacing w:lineRule="auto" w:line="276" w:before="113" w:after="113"/>
        <w:ind w:left="0" w:right="0" w:firstLine="567"/>
        <w:jc w:val="both"/>
        <w:rPr/>
      </w:pPr>
      <w:r>
        <w:rPr>
          <w:rFonts w:cs="Arial" w:ascii="Arial" w:hAnsi="Arial"/>
          <w:sz w:val="22"/>
          <w:szCs w:val="22"/>
        </w:rPr>
        <w:t xml:space="preserve">Os marcos das portas de madeira deverão ter espessura de 04 cm, executados em madeira de boa qualidade e deverão ser chumbados à alvenaria com massa forte e o auxílio de pregos galvanizados, e ainda, parafusados em tacos de madeira previamente chumbados nas paredes. Os furos deverão ser tampados ou vedados com acabamentos na mesma cor da madeira. </w:t>
      </w:r>
    </w:p>
    <w:p>
      <w:pPr>
        <w:pStyle w:val="Normal"/>
        <w:bidi w:val="0"/>
        <w:spacing w:lineRule="auto" w:line="276" w:before="113" w:after="113"/>
        <w:ind w:left="0" w:right="0" w:firstLine="567"/>
        <w:jc w:val="both"/>
        <w:rPr/>
      </w:pPr>
      <w:r>
        <w:rPr>
          <w:rFonts w:cs="Arial" w:ascii="Arial" w:hAnsi="Arial"/>
          <w:sz w:val="22"/>
          <w:szCs w:val="22"/>
        </w:rPr>
        <w:t>As folhas das portas deverão ser colocadas nos marcos com três dobradiças de latão por folha, perfeitamente prumadas e alinhadas após a conclusão dos revestimentos de piso e paredes.</w:t>
      </w:r>
    </w:p>
    <w:p>
      <w:pPr>
        <w:pStyle w:val="Normal"/>
        <w:bidi w:val="0"/>
        <w:spacing w:lineRule="auto" w:line="276" w:before="113" w:after="113"/>
        <w:ind w:left="0" w:right="0" w:firstLine="567"/>
        <w:jc w:val="both"/>
        <w:rPr/>
      </w:pPr>
      <w:r>
        <w:rPr>
          <w:rFonts w:cs="Arial" w:ascii="Arial" w:hAnsi="Arial"/>
          <w:sz w:val="22"/>
          <w:szCs w:val="22"/>
        </w:rPr>
        <w:t>Todas as portas devem ser entregues completas, pintadas na cor a definir, com trilhos, roldanas, puxadores, dobradiças e fechaduras.</w:t>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ESQUADRIAS METÁLICAS</w:t>
      </w:r>
    </w:p>
    <w:p>
      <w:pPr>
        <w:pStyle w:val="Normal"/>
        <w:bidi w:val="0"/>
        <w:spacing w:lineRule="auto" w:line="276" w:before="113" w:after="113"/>
        <w:ind w:left="0" w:right="0" w:firstLine="567"/>
        <w:jc w:val="both"/>
        <w:rPr/>
      </w:pPr>
      <w:r>
        <w:rPr>
          <w:rFonts w:cs="Arial" w:ascii="Arial" w:hAnsi="Arial"/>
          <w:sz w:val="22"/>
          <w:szCs w:val="22"/>
        </w:rPr>
        <w:t>As janelas serão constituídas por perfis de alumínio, linha 35, anodizados (classe de 25 micra), com acessórios e proteções. Deverão seguir o padrão descrito no detalhamento de esquadrias e ser entregues na obra em embalagem que as protejam.</w:t>
      </w:r>
    </w:p>
    <w:p>
      <w:pPr>
        <w:pStyle w:val="Normal"/>
        <w:bidi w:val="0"/>
        <w:spacing w:lineRule="auto" w:line="276" w:before="113" w:after="113"/>
        <w:ind w:left="0" w:right="0" w:firstLine="567"/>
        <w:jc w:val="both"/>
        <w:rPr/>
      </w:pPr>
      <w:r>
        <w:rPr>
          <w:rFonts w:cs="Arial" w:ascii="Arial" w:hAnsi="Arial"/>
          <w:sz w:val="22"/>
          <w:szCs w:val="22"/>
        </w:rPr>
        <w:t>Os contramarcos de alumínio deverão ser solidamente fixados a alvenaria, com argamassa, a qual deverá ser firmemente socada.</w:t>
      </w:r>
    </w:p>
    <w:p>
      <w:pPr>
        <w:pStyle w:val="Normal"/>
        <w:bidi w:val="0"/>
        <w:spacing w:lineRule="auto" w:line="276" w:before="113" w:after="113"/>
        <w:ind w:left="0" w:right="0" w:firstLine="567"/>
        <w:jc w:val="both"/>
        <w:rPr/>
      </w:pPr>
      <w:r>
        <w:rPr>
          <w:rFonts w:cs="Arial" w:ascii="Arial" w:hAnsi="Arial"/>
          <w:sz w:val="22"/>
          <w:szCs w:val="22"/>
        </w:rPr>
        <w:t>As peças das esquadrias de alumínio deverão ser perfeitamente esquadriados, com todos os ângulos ou linhas de emenda rebitados, bem esmerilhados ou limados, de modo a desaparecerem as rebarbas e saliências de emendas. As peças das esquadrias de alumínio deverão ser adequadamente protegidas até o recebimento do acabamento. Todos os furos dos rebites ou dos parafusos deverão ser escareados e as asperezas limadas. Os furos realizados no canteiro de obra deverão ser executados com máquinas de furar, sendo vedado o emprego de furadores (punção).</w:t>
      </w:r>
    </w:p>
    <w:p>
      <w:pPr>
        <w:pStyle w:val="Normal"/>
        <w:bidi w:val="0"/>
        <w:spacing w:lineRule="auto" w:line="276" w:before="113" w:after="113"/>
        <w:ind w:left="0" w:right="0" w:firstLine="567"/>
        <w:jc w:val="both"/>
        <w:rPr/>
      </w:pPr>
      <w:r>
        <w:rPr>
          <w:rFonts w:cs="Arial" w:ascii="Arial" w:hAnsi="Arial"/>
          <w:sz w:val="22"/>
          <w:szCs w:val="22"/>
        </w:rPr>
        <w:t>Serão sumariamente rejeitadas as peças metálicas que não atenderem as especificações e detalhes fornecidos ou apresentarem grau de intemperismo inadequado.</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11 PAVIMENTAÇÃO</w:t>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PAVIMENTAÇÃO INTERNA</w:t>
      </w:r>
    </w:p>
    <w:p>
      <w:pPr>
        <w:pStyle w:val="Normal"/>
        <w:bidi w:val="0"/>
        <w:spacing w:lineRule="auto" w:line="276" w:before="113" w:after="113"/>
        <w:ind w:left="0" w:right="0" w:firstLine="567"/>
        <w:jc w:val="both"/>
        <w:rPr/>
      </w:pPr>
      <w:r>
        <w:rPr>
          <w:rFonts w:cs="Arial" w:ascii="Arial" w:hAnsi="Arial"/>
          <w:b/>
          <w:i w:val="false"/>
          <w:iCs w:val="false"/>
          <w:sz w:val="22"/>
          <w:szCs w:val="22"/>
        </w:rPr>
        <w:t>CIMENTADO/BASE PARA PAVIMENTAÇÃO COLADA (NIVELAMENTO)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áreas com previsão de revestimento cerâmico deverão receber uma camada de base para o assentamento e regularização dos pisos em argamassa traço 1:4; A superfície de base a receber a camada de base, quando contrapiso, deverá ser perfeitamente limpa e abundantemente lavada no momento do lançamento do cimentado.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i w:val="false"/>
          <w:iCs w:val="false"/>
          <w:sz w:val="22"/>
          <w:szCs w:val="22"/>
        </w:rPr>
        <w:t xml:space="preserve">PISO CERÂMICO ANTIDERRAPANTE PEI-5 </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color w:val="000000"/>
          <w:sz w:val="22"/>
          <w:szCs w:val="22"/>
        </w:rPr>
        <w:t>Ser</w:t>
      </w:r>
      <w:r>
        <w:rPr>
          <w:rFonts w:ascii="Arial" w:hAnsi="Arial"/>
          <w:color w:val="000000"/>
          <w:sz w:val="22"/>
          <w:szCs w:val="22"/>
        </w:rPr>
        <w:t>ão utilizadas placas cerâmicas</w:t>
      </w:r>
      <w:r>
        <w:rPr>
          <w:rFonts w:cs="Arial" w:ascii="Arial" w:hAnsi="Arial"/>
          <w:sz w:val="22"/>
          <w:szCs w:val="22"/>
        </w:rPr>
        <w:t xml:space="preserve">, reconhecidamente de primeira qualidade, com classe de resistência à abrasão PEI 5 e garantia do fabricante, Conforme figura abaixo, sugerimos linha Mozilla Martinica ou produto similar com qualidade semelhante a ser autorizado pela fiscalização conforme fornecimento de amostras. </w:t>
      </w:r>
    </w:p>
    <w:p>
      <w:pPr>
        <w:pStyle w:val="Normal"/>
        <w:bidi w:val="0"/>
        <w:spacing w:lineRule="auto" w:line="276" w:before="113" w:after="113"/>
        <w:ind w:left="0" w:right="0" w:firstLine="567"/>
        <w:jc w:val="both"/>
        <w:rPr/>
      </w:pPr>
      <w:r>
        <w:rPr>
          <w:rFonts w:cs="Arial" w:ascii="Arial" w:hAnsi="Arial"/>
          <w:sz w:val="22"/>
          <w:szCs w:val="22"/>
        </w:rPr>
        <w:t xml:space="preserve">O assentamento das peças será feito sobre contrapiso com argamassa colante pré - fabricada, </w:t>
      </w:r>
      <w:r>
        <w:rPr>
          <w:rFonts w:cs="Arial" w:ascii="Arial" w:hAnsi="Arial"/>
          <w:iCs/>
          <w:sz w:val="22"/>
          <w:szCs w:val="22"/>
        </w:rPr>
        <w:t xml:space="preserve">apropriadas para as condições de uso do piso, seguindo obrigatoriamente as recomendações de assentamento do fabricante do piso empregado, </w:t>
      </w:r>
      <w:r>
        <w:rPr>
          <w:rFonts w:cs="Arial" w:ascii="Arial" w:hAnsi="Arial"/>
          <w:sz w:val="22"/>
          <w:szCs w:val="22"/>
        </w:rPr>
        <w:t>constituída de cimento Portland, areia e aditivos, obedecendo-se as especificações de seu fabricante, de forma a deixar juntas perfeitamente alinhadas e de espessura mínima recomendada. As juntas serão preenchidas com rejunte pré-fabricado pigmentado, à base de cimento Portland, areia e polímeros, com cor a ser definida pela fiscalização.</w:t>
      </w:r>
    </w:p>
    <w:p>
      <w:pPr>
        <w:pStyle w:val="Normal"/>
        <w:bidi w:val="0"/>
        <w:spacing w:lineRule="auto" w:line="276" w:before="113" w:after="113"/>
        <w:ind w:left="0" w:right="0" w:firstLine="567"/>
        <w:jc w:val="both"/>
        <w:rPr/>
      </w:pPr>
      <w:r>
        <w:rPr>
          <w:rFonts w:cs="Arial" w:ascii="Arial" w:hAnsi="Arial"/>
          <w:sz w:val="22"/>
          <w:szCs w:val="22"/>
        </w:rPr>
        <w:t>Caberá a CONTRATADA tomar os cuidados necessários para garantir que todos os pisos a pavimentar tenham o caimento necessário para um perfeito e rápido escoamento das águas para os ralos.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iCs/>
          <w:sz w:val="22"/>
          <w:szCs w:val="22"/>
        </w:rPr>
        <w:t>Deverá estar incluso no preço a execução das juntas de dilatação do piso, conforme a estrutura pré-fabricada, com o devido rejuntamento das mesmas com silicone especial.</w:t>
      </w:r>
    </w:p>
    <w:p>
      <w:pPr>
        <w:pStyle w:val="Normal"/>
        <w:bidi w:val="0"/>
        <w:spacing w:lineRule="auto" w:line="276" w:before="113" w:after="113"/>
        <w:ind w:left="0" w:right="0" w:firstLine="567"/>
        <w:jc w:val="both"/>
        <w:rPr/>
      </w:pPr>
      <w:r>
        <w:rPr>
          <w:rFonts w:cs="Arial" w:ascii="Arial" w:hAnsi="Arial"/>
          <w:sz w:val="22"/>
          <w:szCs w:val="22"/>
        </w:rPr>
        <w:t>Deve estar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w:t>
      </w:r>
    </w:p>
    <w:p>
      <w:pPr>
        <w:pStyle w:val="Normal"/>
        <w:bidi w:val="0"/>
        <w:spacing w:lineRule="auto" w:line="276" w:before="113" w:after="113"/>
        <w:ind w:left="0" w:right="0" w:firstLine="567"/>
        <w:jc w:val="both"/>
        <w:rPr/>
      </w:pPr>
      <w:r>
        <w:rPr>
          <w:rFonts w:cs="Arial" w:ascii="Arial" w:hAnsi="Arial"/>
          <w:sz w:val="22"/>
          <w:szCs w:val="22"/>
        </w:rPr>
        <w:t>Detalhes de paginação de piso,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b/>
          <w:sz w:val="22"/>
          <w:szCs w:val="22"/>
        </w:rPr>
        <w:t>REJUNTE DE PISO CERÂMICO C/ ARGAMASSA PRÉ-FABRICADA</w:t>
      </w:r>
    </w:p>
    <w:p>
      <w:pPr>
        <w:pStyle w:val="Normal"/>
        <w:bidi w:val="0"/>
        <w:spacing w:lineRule="auto" w:line="276" w:before="113" w:after="113"/>
        <w:ind w:left="0" w:right="0" w:firstLine="567"/>
        <w:jc w:val="both"/>
        <w:rPr/>
      </w:pPr>
      <w:r>
        <w:rPr>
          <w:rFonts w:cs="Arial" w:ascii="Arial" w:hAnsi="Arial"/>
          <w:sz w:val="22"/>
          <w:szCs w:val="22"/>
        </w:rPr>
        <w:t>As juntas entre cerâmicas terão gabarito de 3 mm (no máximo), com espaçadores de PVC, e serão rejuntadas com rejunte industrial, na cor clara semelhante a do próprio piso.</w:t>
      </w:r>
    </w:p>
    <w:p>
      <w:pPr>
        <w:pStyle w:val="Normal"/>
        <w:bidi w:val="0"/>
        <w:spacing w:lineRule="auto" w:line="276" w:before="113" w:after="113"/>
        <w:ind w:left="0" w:right="0" w:firstLine="567"/>
        <w:jc w:val="both"/>
        <w:rPr/>
      </w:pPr>
      <w:r>
        <w:rPr>
          <w:rFonts w:cs="Arial" w:ascii="Arial" w:hAnsi="Arial"/>
          <w:b/>
          <w:bCs/>
          <w:sz w:val="22"/>
          <w:szCs w:val="22"/>
        </w:rPr>
        <w:t>PISO TÁTIL</w:t>
      </w:r>
    </w:p>
    <w:p>
      <w:pPr>
        <w:pStyle w:val="Normal"/>
        <w:bidi w:val="0"/>
        <w:spacing w:lineRule="auto" w:line="276" w:before="113" w:after="113"/>
        <w:ind w:left="0" w:right="0" w:firstLine="567"/>
        <w:jc w:val="both"/>
        <w:rPr/>
      </w:pPr>
      <w:r>
        <w:rPr>
          <w:rFonts w:cs="Arial" w:ascii="Arial" w:hAnsi="Arial"/>
          <w:sz w:val="22"/>
          <w:szCs w:val="22"/>
        </w:rPr>
        <w:t xml:space="preserve">Os pisos táteis de borracha serão nos modelos alerta e direcionais colados sobre o piso existente com dimensões de 30 x 30 cm e espessura de 5 mm, </w:t>
      </w:r>
      <w:r>
        <w:rPr>
          <w:rFonts w:cs="Arial" w:ascii="Arial" w:hAnsi="Arial"/>
          <w:b w:val="false"/>
          <w:bCs w:val="false"/>
          <w:sz w:val="22"/>
          <w:szCs w:val="22"/>
        </w:rPr>
        <w:t xml:space="preserve">na cor azul e amarelo. </w:t>
      </w:r>
      <w:r>
        <w:rPr>
          <w:rFonts w:cs="Arial" w:ascii="Arial" w:hAnsi="Arial"/>
          <w:sz w:val="22"/>
          <w:szCs w:val="22"/>
        </w:rPr>
        <w:t xml:space="preserve">As placas podotáteis caracterizam-se pela diferenciação de textura e cor em relação ao piso adjacente, destinado a construir alerta ou linha de guia, perceptível por pessoas com deficiência visual. </w:t>
      </w:r>
      <w:r>
        <w:rPr>
          <w:rFonts w:cs="Arial" w:ascii="Arial" w:hAnsi="Arial"/>
          <w:b w:val="false"/>
          <w:bCs w:val="false"/>
          <w:sz w:val="22"/>
          <w:szCs w:val="22"/>
        </w:rPr>
        <w:t xml:space="preserve">As placas deverão estar em conformidade com a NBR 9050 – Acessibilidade a edificações, mobiliário, espaços e equipamentos urbanos. </w:t>
      </w:r>
    </w:p>
    <w:p>
      <w:pPr>
        <w:pStyle w:val="Normal"/>
        <w:bidi w:val="0"/>
        <w:spacing w:lineRule="auto" w:line="276" w:before="113" w:after="113"/>
        <w:ind w:left="0" w:right="0" w:firstLine="567"/>
        <w:jc w:val="both"/>
        <w:rPr/>
      </w:pPr>
      <w:r>
        <w:rPr>
          <w:rFonts w:cs="Arial" w:ascii="Arial" w:hAnsi="Arial"/>
          <w:sz w:val="22"/>
          <w:szCs w:val="22"/>
        </w:rPr>
        <w:t xml:space="preserve">Modelos: </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xml:space="preserve">- Piso Tátil Direcional - tem a função de orientar o percurso a ser seguido, possui a superfície de relevos lineares - </w:t>
      </w:r>
      <w:r>
        <w:rPr>
          <w:rFonts w:cs="Arial" w:ascii="Arial" w:hAnsi="Arial"/>
          <w:b/>
          <w:sz w:val="22"/>
          <w:szCs w:val="22"/>
        </w:rPr>
        <w:t>cor azul</w:t>
      </w:r>
      <w:r>
        <w:rPr>
          <w:rFonts w:cs="Arial" w:ascii="Arial" w:hAnsi="Arial"/>
          <w:sz w:val="22"/>
          <w:szCs w:val="22"/>
        </w:rPr>
        <w:t xml:space="preserve">. </w:t>
      </w:r>
    </w:p>
    <w:p>
      <w:pPr>
        <w:pStyle w:val="Normal"/>
        <w:bidi w:val="0"/>
        <w:spacing w:lineRule="auto" w:line="276" w:before="113" w:after="113"/>
        <w:ind w:left="0" w:right="0" w:firstLine="567"/>
        <w:jc w:val="both"/>
        <w:rPr/>
      </w:pPr>
      <w:r>
        <w:rPr>
          <w:rFonts w:cs="Arial" w:ascii="Arial" w:hAnsi="Arial"/>
          <w:sz w:val="22"/>
          <w:szCs w:val="22"/>
        </w:rPr>
        <w:t xml:space="preserve">- Piso Tátil de Alerta - tem a função de sinalizar perigo ou mudança de direção, com superfície em relevo tronco-cônico - </w:t>
      </w:r>
      <w:r>
        <w:rPr>
          <w:rFonts w:cs="Arial" w:ascii="Arial" w:hAnsi="Arial"/>
          <w:b/>
          <w:sz w:val="22"/>
          <w:szCs w:val="22"/>
        </w:rPr>
        <w:t>cor amarelo</w:t>
      </w:r>
      <w:r>
        <w:rPr>
          <w:rFonts w:cs="Arial" w:ascii="Arial" w:hAnsi="Arial"/>
          <w:sz w:val="22"/>
          <w:szCs w:val="22"/>
        </w:rPr>
        <w:t>.</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drawing>
          <wp:anchor behindDoc="0" distT="0" distB="0" distL="0" distR="0" simplePos="0" locked="0" layoutInCell="1" allowOverlap="1" relativeHeight="62">
            <wp:simplePos x="0" y="0"/>
            <wp:positionH relativeFrom="column">
              <wp:posOffset>1671320</wp:posOffset>
            </wp:positionH>
            <wp:positionV relativeFrom="paragraph">
              <wp:posOffset>-71755</wp:posOffset>
            </wp:positionV>
            <wp:extent cx="1143635" cy="1143635"/>
            <wp:effectExtent l="0" t="0" r="0" b="0"/>
            <wp:wrapSquare wrapText="largest"/>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tretch>
                      <a:fillRect/>
                    </a:stretch>
                  </pic:blipFill>
                  <pic:spPr bwMode="auto">
                    <a:xfrm>
                      <a:off x="0" y="0"/>
                      <a:ext cx="1143635" cy="1143635"/>
                    </a:xfrm>
                    <a:prstGeom prst="rect">
                      <a:avLst/>
                    </a:prstGeom>
                  </pic:spPr>
                </pic:pic>
              </a:graphicData>
            </a:graphic>
          </wp:anchor>
        </w:drawing>
        <w:drawing>
          <wp:anchor behindDoc="0" distT="0" distB="0" distL="0" distR="0" simplePos="0" locked="0" layoutInCell="1" allowOverlap="1" relativeHeight="63">
            <wp:simplePos x="0" y="0"/>
            <wp:positionH relativeFrom="column">
              <wp:posOffset>3052445</wp:posOffset>
            </wp:positionH>
            <wp:positionV relativeFrom="paragraph">
              <wp:posOffset>-65405</wp:posOffset>
            </wp:positionV>
            <wp:extent cx="1160145" cy="1160145"/>
            <wp:effectExtent l="0" t="0" r="0" b="0"/>
            <wp:wrapSquare wrapText="largest"/>
            <wp:docPr id="2"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3" descr=""/>
                    <pic:cNvPicPr>
                      <a:picLocks noChangeAspect="1" noChangeArrowheads="1"/>
                    </pic:cNvPicPr>
                  </pic:nvPicPr>
                  <pic:blipFill>
                    <a:blip r:embed="rId3"/>
                    <a:stretch>
                      <a:fillRect/>
                    </a:stretch>
                  </pic:blipFill>
                  <pic:spPr bwMode="auto">
                    <a:xfrm>
                      <a:off x="0" y="0"/>
                      <a:ext cx="1160145" cy="1160145"/>
                    </a:xfrm>
                    <a:prstGeom prst="rect">
                      <a:avLst/>
                    </a:prstGeom>
                  </pic:spPr>
                </pic:pic>
              </a:graphicData>
            </a:graphic>
          </wp:anchor>
        </w:drawing>
      </w:r>
    </w:p>
    <w:p>
      <w:pPr>
        <w:pStyle w:val="Style8"/>
        <w:bidi w:val="0"/>
        <w:spacing w:lineRule="auto" w:line="276" w:before="113" w:after="113"/>
        <w:ind w:left="0" w:right="0" w:firstLine="567"/>
        <w:jc w:val="both"/>
        <w:rPr/>
      </w:pPr>
      <w:r>
        <w:rPr>
          <w:rStyle w:val="CharacterStyle2"/>
          <w:rFonts w:cs="Arial" w:ascii="Arial" w:hAnsi="Arial"/>
          <w:b/>
          <w:i w:val="false"/>
          <w:iCs w:val="false"/>
          <w:spacing w:val="2"/>
          <w:sz w:val="22"/>
          <w:szCs w:val="22"/>
        </w:rPr>
        <w:t>PAVIMENTAÇÃO EXTERNA</w:t>
      </w:r>
    </w:p>
    <w:p>
      <w:pPr>
        <w:pStyle w:val="Normal"/>
        <w:bidi w:val="0"/>
        <w:spacing w:lineRule="auto" w:line="276" w:before="113" w:after="113"/>
        <w:ind w:left="113" w:right="113" w:firstLine="567"/>
        <w:jc w:val="both"/>
        <w:rPr/>
      </w:pPr>
      <w:r>
        <w:rPr>
          <w:rFonts w:cs="Arial" w:ascii="Arial" w:hAnsi="Arial"/>
          <w:b/>
          <w:i w:val="false"/>
          <w:iCs w:val="false"/>
          <w:sz w:val="22"/>
          <w:szCs w:val="22"/>
        </w:rPr>
        <w:t>PISO DE CONCRETO 7 CM – COM/SEM ARMADURA</w:t>
      </w:r>
    </w:p>
    <w:p>
      <w:pPr>
        <w:pStyle w:val="ListParagraph"/>
        <w:bidi w:val="0"/>
        <w:spacing w:lineRule="auto" w:line="276" w:before="113" w:after="113"/>
        <w:ind w:left="0" w:right="0" w:firstLine="567"/>
        <w:jc w:val="both"/>
        <w:rPr/>
      </w:pPr>
      <w:r>
        <w:rPr>
          <w:rFonts w:ascii="Arial" w:hAnsi="Arial"/>
          <w:i w:val="false"/>
          <w:iCs w:val="false"/>
          <w:sz w:val="22"/>
          <w:szCs w:val="22"/>
        </w:rPr>
        <w:t>Em trechos das rampas será executado piso tipo industrial em concreto armado, fck 20MPa com revestimento em ladrilho hidráulico.</w:t>
      </w:r>
    </w:p>
    <w:p>
      <w:pPr>
        <w:pStyle w:val="ListParagraph"/>
        <w:bidi w:val="0"/>
        <w:spacing w:lineRule="auto" w:line="276" w:before="113" w:after="113"/>
        <w:ind w:left="0" w:right="0" w:firstLine="567"/>
        <w:jc w:val="both"/>
        <w:rPr/>
      </w:pPr>
      <w:r>
        <w:rPr>
          <w:rFonts w:ascii="Arial" w:hAnsi="Arial"/>
          <w:i w:val="false"/>
          <w:iCs w:val="false"/>
          <w:sz w:val="22"/>
          <w:szCs w:val="22"/>
        </w:rPr>
        <w:t xml:space="preserve">Para a área do pátio, será executado mesmo padrão, porém sem armadura com revestimento em ladrilho hidráulico. </w:t>
      </w:r>
    </w:p>
    <w:p>
      <w:pPr>
        <w:pStyle w:val="Normal"/>
        <w:numPr>
          <w:ilvl w:val="0"/>
          <w:numId w:val="0"/>
        </w:numPr>
        <w:bidi w:val="0"/>
        <w:spacing w:lineRule="auto" w:line="276" w:before="113" w:after="113"/>
        <w:ind w:left="0" w:right="0" w:firstLine="567"/>
        <w:jc w:val="both"/>
        <w:rPr/>
      </w:pPr>
      <w:r>
        <w:rPr>
          <w:rFonts w:ascii="Arial" w:hAnsi="Arial"/>
          <w:b/>
          <w:bCs/>
          <w:i w:val="false"/>
          <w:iCs w:val="false"/>
          <w:sz w:val="22"/>
          <w:szCs w:val="22"/>
        </w:rPr>
        <w:t>LADRILHO HIDRÁULICO</w:t>
      </w:r>
    </w:p>
    <w:p>
      <w:pPr>
        <w:pStyle w:val="Normal"/>
        <w:tabs>
          <w:tab w:val="left" w:pos="0" w:leader="none"/>
        </w:tabs>
        <w:overflowPunct w:val="true"/>
        <w:spacing w:lineRule="auto" w:line="276"/>
        <w:ind w:firstLine="709"/>
        <w:jc w:val="both"/>
        <w:textAlignment w:val="baseline"/>
        <w:rPr/>
      </w:pPr>
      <w:r>
        <w:rPr>
          <w:rFonts w:cs="Arial" w:ascii="Arial" w:hAnsi="Arial"/>
          <w:sz w:val="22"/>
          <w:szCs w:val="16"/>
        </w:rPr>
        <w:t>Serão utilizados placas de ladrilhos hidráulicos reconhecidamente de primeira qualidade e semelhantes aos existentes na unidade, com classe de resistência à abrasão PEI 4 e garantia do fabricante, devendo ser fornecido a fiscalização amostras para definição.</w:t>
      </w:r>
    </w:p>
    <w:p>
      <w:pPr>
        <w:pStyle w:val="Normal"/>
        <w:tabs>
          <w:tab w:val="left" w:pos="0" w:leader="none"/>
        </w:tabs>
        <w:overflowPunct w:val="true"/>
        <w:spacing w:lineRule="auto" w:line="276"/>
        <w:ind w:firstLine="709"/>
        <w:jc w:val="both"/>
        <w:textAlignment w:val="baseline"/>
        <w:rPr>
          <w:rFonts w:ascii="Arial" w:hAnsi="Arial" w:cs="Arial"/>
          <w:sz w:val="22"/>
          <w:szCs w:val="16"/>
        </w:rPr>
      </w:pPr>
      <w:r>
        <w:rPr>
          <w:rFonts w:cs="Arial" w:ascii="Arial" w:hAnsi="Arial"/>
          <w:sz w:val="22"/>
          <w:szCs w:val="16"/>
        </w:rPr>
      </w:r>
    </w:p>
    <w:p>
      <w:pPr>
        <w:pStyle w:val="Normal"/>
        <w:tabs>
          <w:tab w:val="left" w:pos="0" w:leader="none"/>
        </w:tabs>
        <w:overflowPunct w:val="true"/>
        <w:spacing w:lineRule="auto" w:line="276"/>
        <w:ind w:firstLine="709"/>
        <w:jc w:val="both"/>
        <w:textAlignment w:val="baseline"/>
        <w:rPr/>
      </w:pPr>
      <w:r>
        <w:rPr>
          <w:rFonts w:cs="Arial" w:ascii="Arial" w:hAnsi="Arial"/>
          <w:sz w:val="22"/>
          <w:szCs w:val="16"/>
        </w:rPr>
        <w:t>O assentamento das peças será feito sobre o contrapiso com argamassa colante pré – fabricada, apropriada para as condições de uso do piso, seguindo obrigatoriamente as recomendações de assentamento do fabricante do piso empregado, constituída de cimento Portland, areia e aditivos, obedecendo-se as especificações de seu fabricante, de forma a deixar juntas perfeitamente alinhadas e de espessura mínima recomendada. As juntas serão preenchidas com rejunte pré-fabricado pigmentado, à base de cimento Portland, areia e polímeros, com cor a ser definida pela fiscalização.</w:t>
      </w:r>
    </w:p>
    <w:p>
      <w:pPr>
        <w:pStyle w:val="Normal"/>
        <w:widowControl/>
        <w:tabs>
          <w:tab w:val="left" w:pos="0" w:leader="none"/>
        </w:tabs>
        <w:overflowPunct w:val="true"/>
        <w:bidi w:val="0"/>
        <w:spacing w:lineRule="auto" w:line="276"/>
        <w:ind w:left="2665" w:right="0" w:firstLine="454"/>
        <w:jc w:val="both"/>
        <w:textAlignment w:val="baseline"/>
        <w:rPr>
          <w:rFonts w:ascii="Arial" w:hAnsi="Arial" w:cs="Arial"/>
          <w:sz w:val="22"/>
          <w:szCs w:val="16"/>
        </w:rPr>
      </w:pPr>
      <w:r>
        <w:rPr>
          <w:rFonts w:cs="Arial" w:ascii="Arial" w:hAnsi="Arial"/>
          <w:sz w:val="22"/>
          <w:szCs w:val="16"/>
        </w:rPr>
        <w:drawing>
          <wp:anchor behindDoc="0" distT="0" distB="0" distL="0" distR="0" simplePos="0" locked="0" layoutInCell="1" allowOverlap="1" relativeHeight="65">
            <wp:simplePos x="0" y="0"/>
            <wp:positionH relativeFrom="column">
              <wp:posOffset>2005330</wp:posOffset>
            </wp:positionH>
            <wp:positionV relativeFrom="paragraph">
              <wp:posOffset>90805</wp:posOffset>
            </wp:positionV>
            <wp:extent cx="1386205" cy="1390015"/>
            <wp:effectExtent l="0" t="0" r="0" b="0"/>
            <wp:wrapSquare wrapText="bothSides"/>
            <wp:docPr id="3" name="Figura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5" descr=""/>
                    <pic:cNvPicPr>
                      <a:picLocks noChangeAspect="1" noChangeArrowheads="1"/>
                    </pic:cNvPicPr>
                  </pic:nvPicPr>
                  <pic:blipFill>
                    <a:blip r:embed="rId4"/>
                    <a:stretch>
                      <a:fillRect/>
                    </a:stretch>
                  </pic:blipFill>
                  <pic:spPr bwMode="auto">
                    <a:xfrm>
                      <a:off x="0" y="0"/>
                      <a:ext cx="1386205" cy="1390015"/>
                    </a:xfrm>
                    <a:prstGeom prst="rect">
                      <a:avLst/>
                    </a:prstGeom>
                  </pic:spPr>
                </pic:pic>
              </a:graphicData>
            </a:graphic>
          </wp:anchor>
        </w:drawing>
      </w:r>
    </w:p>
    <w:p>
      <w:pPr>
        <w:pStyle w:val="Normal"/>
        <w:widowControl/>
        <w:tabs>
          <w:tab w:val="left" w:pos="0" w:leader="none"/>
        </w:tabs>
        <w:overflowPunct w:val="true"/>
        <w:bidi w:val="0"/>
        <w:spacing w:lineRule="auto" w:line="276"/>
        <w:ind w:left="2665" w:right="0" w:hanging="0"/>
        <w:jc w:val="both"/>
        <w:textAlignment w:val="baseline"/>
        <w:rPr>
          <w:rFonts w:ascii="Arial" w:hAnsi="Arial" w:cs="Arial"/>
          <w:sz w:val="22"/>
          <w:szCs w:val="16"/>
        </w:rPr>
      </w:pPr>
      <w:r>
        <w:rPr>
          <w:rFonts w:cs="Arial" w:ascii="Arial" w:hAnsi="Arial"/>
          <w:sz w:val="22"/>
          <w:szCs w:val="16"/>
        </w:rPr>
      </w:r>
    </w:p>
    <w:p>
      <w:pPr>
        <w:pStyle w:val="Normal"/>
        <w:widowControl/>
        <w:tabs>
          <w:tab w:val="left" w:pos="0" w:leader="none"/>
        </w:tabs>
        <w:overflowPunct w:val="true"/>
        <w:bidi w:val="0"/>
        <w:spacing w:lineRule="auto" w:line="276"/>
        <w:ind w:left="2665" w:right="0" w:hanging="0"/>
        <w:jc w:val="both"/>
        <w:textAlignment w:val="baseline"/>
        <w:rPr>
          <w:rFonts w:ascii="Arial" w:hAnsi="Arial" w:cs="Arial"/>
          <w:sz w:val="22"/>
          <w:szCs w:val="16"/>
        </w:rPr>
      </w:pPr>
      <w:r>
        <w:rPr>
          <w:rFonts w:cs="Arial" w:ascii="Arial" w:hAnsi="Arial"/>
          <w:sz w:val="22"/>
          <w:szCs w:val="16"/>
        </w:rPr>
      </w:r>
    </w:p>
    <w:p>
      <w:pPr>
        <w:pStyle w:val="Normal"/>
        <w:widowControl/>
        <w:tabs>
          <w:tab w:val="left" w:pos="0" w:leader="none"/>
        </w:tabs>
        <w:overflowPunct w:val="true"/>
        <w:bidi w:val="0"/>
        <w:spacing w:lineRule="auto" w:line="276"/>
        <w:ind w:left="2665" w:right="0" w:hanging="0"/>
        <w:jc w:val="both"/>
        <w:textAlignment w:val="baseline"/>
        <w:rPr>
          <w:rFonts w:ascii="Arial" w:hAnsi="Arial" w:cs="Arial"/>
          <w:sz w:val="22"/>
          <w:szCs w:val="16"/>
        </w:rPr>
      </w:pPr>
      <w:r>
        <w:rPr>
          <w:rFonts w:cs="Arial" w:ascii="Arial" w:hAnsi="Arial"/>
          <w:sz w:val="22"/>
          <w:szCs w:val="16"/>
        </w:rPr>
      </w:r>
    </w:p>
    <w:p>
      <w:pPr>
        <w:pStyle w:val="Normal"/>
        <w:widowControl/>
        <w:tabs>
          <w:tab w:val="left" w:pos="0" w:leader="none"/>
        </w:tabs>
        <w:overflowPunct w:val="true"/>
        <w:bidi w:val="0"/>
        <w:spacing w:lineRule="auto" w:line="276"/>
        <w:ind w:left="2665" w:right="0" w:hanging="0"/>
        <w:jc w:val="both"/>
        <w:textAlignment w:val="baseline"/>
        <w:rPr>
          <w:rFonts w:ascii="Arial" w:hAnsi="Arial" w:cs="Arial"/>
          <w:sz w:val="22"/>
          <w:szCs w:val="16"/>
        </w:rPr>
      </w:pPr>
      <w:r>
        <w:rPr>
          <w:rFonts w:cs="Arial" w:ascii="Arial" w:hAnsi="Arial"/>
          <w:sz w:val="22"/>
          <w:szCs w:val="16"/>
        </w:rPr>
      </w:r>
    </w:p>
    <w:p>
      <w:pPr>
        <w:pStyle w:val="Normal"/>
        <w:widowControl/>
        <w:tabs>
          <w:tab w:val="left" w:pos="0" w:leader="none"/>
        </w:tabs>
        <w:overflowPunct w:val="true"/>
        <w:bidi w:val="0"/>
        <w:spacing w:lineRule="auto" w:line="276"/>
        <w:ind w:left="2665" w:right="0" w:hanging="0"/>
        <w:jc w:val="both"/>
        <w:textAlignment w:val="baseline"/>
        <w:rPr>
          <w:rFonts w:ascii="Arial" w:hAnsi="Arial" w:cs="Arial"/>
          <w:sz w:val="22"/>
          <w:szCs w:val="16"/>
        </w:rPr>
      </w:pPr>
      <w:r>
        <w:rPr>
          <w:rFonts w:cs="Arial" w:ascii="Arial" w:hAnsi="Arial"/>
          <w:sz w:val="22"/>
          <w:szCs w:val="16"/>
        </w:rPr>
      </w:r>
    </w:p>
    <w:p>
      <w:pPr>
        <w:pStyle w:val="Normal"/>
        <w:widowControl/>
        <w:tabs>
          <w:tab w:val="left" w:pos="0" w:leader="none"/>
        </w:tabs>
        <w:overflowPunct w:val="true"/>
        <w:bidi w:val="0"/>
        <w:spacing w:lineRule="auto" w:line="276"/>
        <w:ind w:left="2665" w:right="0" w:hanging="0"/>
        <w:jc w:val="both"/>
        <w:textAlignment w:val="baseline"/>
        <w:rPr>
          <w:rFonts w:ascii="Arial" w:hAnsi="Arial" w:cs="Arial"/>
          <w:sz w:val="22"/>
          <w:szCs w:val="16"/>
        </w:rPr>
      </w:pPr>
      <w:r>
        <w:rPr>
          <w:rFonts w:cs="Arial" w:ascii="Arial" w:hAnsi="Arial"/>
          <w:sz w:val="22"/>
          <w:szCs w:val="16"/>
        </w:rPr>
      </w:r>
    </w:p>
    <w:p>
      <w:pPr>
        <w:pStyle w:val="Normal"/>
        <w:widowControl/>
        <w:tabs>
          <w:tab w:val="left" w:pos="0" w:leader="none"/>
        </w:tabs>
        <w:overflowPunct w:val="true"/>
        <w:bidi w:val="0"/>
        <w:spacing w:lineRule="auto" w:line="276"/>
        <w:ind w:left="2665" w:right="0" w:hanging="0"/>
        <w:jc w:val="both"/>
        <w:textAlignment w:val="baseline"/>
        <w:rPr>
          <w:rFonts w:ascii="Arial" w:hAnsi="Arial" w:cs="Arial"/>
          <w:sz w:val="22"/>
          <w:szCs w:val="16"/>
        </w:rPr>
      </w:pPr>
      <w:r>
        <w:rPr>
          <w:rFonts w:cs="Arial" w:ascii="Arial" w:hAnsi="Arial"/>
          <w:sz w:val="22"/>
          <w:szCs w:val="16"/>
        </w:rPr>
      </w:r>
    </w:p>
    <w:p>
      <w:pPr>
        <w:pStyle w:val="Normal"/>
        <w:widowControl/>
        <w:tabs>
          <w:tab w:val="left" w:pos="0" w:leader="none"/>
        </w:tabs>
        <w:overflowPunct w:val="true"/>
        <w:bidi w:val="0"/>
        <w:spacing w:lineRule="auto" w:line="276"/>
        <w:ind w:left="2665" w:right="0" w:hanging="0"/>
        <w:jc w:val="both"/>
        <w:textAlignment w:val="baseline"/>
        <w:rPr>
          <w:rFonts w:ascii="Arial" w:hAnsi="Arial" w:cs="Arial"/>
          <w:sz w:val="22"/>
          <w:szCs w:val="16"/>
        </w:rPr>
      </w:pPr>
      <w:r>
        <w:rPr>
          <w:rFonts w:cs="Arial" w:ascii="Arial" w:hAnsi="Arial"/>
          <w:sz w:val="22"/>
          <w:szCs w:val="16"/>
        </w:rPr>
      </w:r>
    </w:p>
    <w:p>
      <w:pPr>
        <w:pStyle w:val="Normal"/>
        <w:widowControl/>
        <w:tabs>
          <w:tab w:val="left" w:pos="0" w:leader="none"/>
        </w:tabs>
        <w:overflowPunct w:val="true"/>
        <w:bidi w:val="0"/>
        <w:spacing w:lineRule="auto" w:line="276"/>
        <w:ind w:left="2665" w:right="0" w:hanging="0"/>
        <w:jc w:val="both"/>
        <w:textAlignment w:val="baseline"/>
        <w:rPr>
          <w:rFonts w:ascii="Arial" w:hAnsi="Arial" w:cs="Arial"/>
          <w:sz w:val="22"/>
          <w:szCs w:val="16"/>
        </w:rPr>
      </w:pPr>
      <w:r>
        <w:rPr>
          <w:rFonts w:cs="Arial" w:ascii="Arial" w:hAnsi="Arial"/>
          <w:sz w:val="22"/>
          <w:szCs w:val="16"/>
        </w:rPr>
      </w:r>
    </w:p>
    <w:p>
      <w:pPr>
        <w:pStyle w:val="Normal"/>
        <w:widowControl/>
        <w:tabs>
          <w:tab w:val="left" w:pos="0" w:leader="none"/>
        </w:tabs>
        <w:overflowPunct w:val="true"/>
        <w:bidi w:val="0"/>
        <w:spacing w:lineRule="auto" w:line="276"/>
        <w:ind w:right="0" w:hanging="0"/>
        <w:jc w:val="both"/>
        <w:textAlignment w:val="baseline"/>
        <w:rPr/>
      </w:pPr>
      <w:r>
        <w:rPr>
          <w:rFonts w:cs="Arial" w:ascii="Arial" w:hAnsi="Arial"/>
          <w:sz w:val="22"/>
          <w:szCs w:val="16"/>
        </w:rPr>
        <w:tab/>
        <w:t>Caberá a CONTRATADA tomar os cuidados necessários para garantir que todos os pisos a pavimentar tenham o caimento necessário para um perfeito e rápido escoamento das águas para os ralos.</w:t>
      </w:r>
    </w:p>
    <w:p>
      <w:pPr>
        <w:pStyle w:val="Normal"/>
        <w:widowControl/>
        <w:tabs>
          <w:tab w:val="left" w:pos="0" w:leader="none"/>
        </w:tabs>
        <w:overflowPunct w:val="true"/>
        <w:bidi w:val="0"/>
        <w:spacing w:lineRule="auto" w:line="276" w:before="113" w:after="113"/>
        <w:ind w:right="0" w:hanging="0"/>
        <w:jc w:val="both"/>
        <w:textAlignment w:val="baseline"/>
        <w:rPr/>
      </w:pPr>
      <w:r>
        <w:rPr>
          <w:rFonts w:cs="Arial" w:ascii="Arial" w:hAnsi="Arial"/>
          <w:b/>
          <w:sz w:val="22"/>
          <w:szCs w:val="16"/>
        </w:rPr>
        <w:tab/>
        <w:t>Deverá estar incluso no preço a execução das juntas de dilatação do piso, conforme a estrutura pré-fabricada, com o devido rejuntamento das mesmas com silicone especial.</w:t>
      </w:r>
    </w:p>
    <w:p>
      <w:pPr>
        <w:pStyle w:val="Normal"/>
        <w:bidi w:val="0"/>
        <w:spacing w:lineRule="auto" w:line="276" w:before="113" w:after="113"/>
        <w:ind w:left="0" w:right="0" w:firstLine="567"/>
        <w:jc w:val="both"/>
        <w:rPr>
          <w:b/>
          <w:b/>
        </w:rPr>
      </w:pPr>
      <w:r>
        <w:rPr>
          <w:b/>
        </w:rPr>
      </w:r>
    </w:p>
    <w:p>
      <w:pPr>
        <w:pStyle w:val="Normal"/>
        <w:bidi w:val="0"/>
        <w:spacing w:lineRule="auto" w:line="276" w:before="113" w:after="113"/>
        <w:ind w:left="0" w:right="0" w:firstLine="567"/>
        <w:jc w:val="both"/>
        <w:rPr/>
      </w:pPr>
      <w:r>
        <w:rPr>
          <w:rFonts w:cs="Arial" w:ascii="Arial" w:hAnsi="Arial"/>
          <w:b/>
          <w:sz w:val="22"/>
          <w:szCs w:val="22"/>
        </w:rPr>
        <w:t>12 INSTALAÇÕES ELÉTRICAS/CLIMATIZAÇÃO</w:t>
      </w:r>
    </w:p>
    <w:p>
      <w:pPr>
        <w:pStyle w:val="Normal"/>
        <w:bidi w:val="0"/>
        <w:spacing w:lineRule="auto" w:line="276" w:before="113" w:after="113"/>
        <w:ind w:left="0" w:right="0" w:firstLine="567"/>
        <w:jc w:val="both"/>
        <w:rPr/>
      </w:pPr>
      <w:r>
        <w:rPr>
          <w:rFonts w:cs="Arial" w:ascii="Arial" w:hAnsi="Arial"/>
          <w:sz w:val="22"/>
          <w:szCs w:val="22"/>
        </w:rPr>
        <w:t xml:space="preserve">Todos os materiais a serem empregados deverão atender às prescrições das Normas Brasileiras da ABNT que lhes forem cabíveis. Todos os materiais deverão ser de primeira qualidade e primeiro uso. </w:t>
      </w:r>
    </w:p>
    <w:p>
      <w:pPr>
        <w:pStyle w:val="Normal"/>
        <w:bidi w:val="0"/>
        <w:spacing w:lineRule="auto" w:line="276" w:before="113" w:after="113"/>
        <w:ind w:left="0" w:right="0" w:firstLine="567"/>
        <w:jc w:val="both"/>
        <w:rPr/>
      </w:pPr>
      <w:r>
        <w:rPr>
          <w:rFonts w:cs="Arial" w:ascii="Arial" w:hAnsi="Arial"/>
          <w:sz w:val="22"/>
          <w:szCs w:val="22"/>
        </w:rPr>
        <w:t>Qualquer situação de serviços, que implique em trabalhos com ramais alimentados, deverá ter seu corte previamente combinado com os usuários do local. Em hipótese alguma deverão ser efetuados os serviços de maneira a colocar funcionários, transeuntes ou clientes em risco. Todos os serviços em fase de interligação com a rede existente deverão ser efetuados com o sistema desligado.</w:t>
      </w:r>
    </w:p>
    <w:p>
      <w:pPr>
        <w:pStyle w:val="Normal"/>
        <w:bidi w:val="0"/>
        <w:spacing w:lineRule="auto" w:line="276" w:before="113" w:after="113"/>
        <w:ind w:left="0" w:right="0" w:firstLine="567"/>
        <w:jc w:val="both"/>
        <w:rPr/>
      </w:pPr>
      <w:r>
        <w:rPr>
          <w:rFonts w:cs="Arial" w:ascii="Arial" w:hAnsi="Arial"/>
          <w:sz w:val="22"/>
          <w:szCs w:val="22"/>
        </w:rPr>
        <w:t>As instalações elétricas serão executadas de acordo com o projeto elétrico de baixa tensão, fundamentado na NBR 5410/2004, com o respectivo projeto que terá por base a NBR 14565/2007, atendendo as normas da concessionaria local – CELESC – Centrais Elétricas de Santa Catarina.</w:t>
      </w:r>
    </w:p>
    <w:p>
      <w:pPr>
        <w:pStyle w:val="Normal"/>
        <w:bidi w:val="0"/>
        <w:spacing w:lineRule="auto" w:line="276" w:before="113" w:after="113"/>
        <w:ind w:left="0" w:right="0" w:firstLine="567"/>
        <w:jc w:val="both"/>
        <w:rPr/>
      </w:pPr>
      <w:r>
        <w:rPr>
          <w:rFonts w:cs="Arial" w:ascii="Arial" w:hAnsi="Arial"/>
          <w:sz w:val="22"/>
          <w:szCs w:val="22"/>
        </w:rPr>
        <w:t>Todos os serviços deverão utilizar mão de obra de alto padrão técnico, não sendo permitido o emprego de profissionais desconhecedores da boa técnica e da segurança.</w:t>
      </w:r>
    </w:p>
    <w:p>
      <w:pPr>
        <w:pStyle w:val="Normal"/>
        <w:bidi w:val="0"/>
        <w:spacing w:lineRule="auto" w:line="276" w:before="113" w:after="113"/>
        <w:ind w:left="0" w:right="0" w:firstLine="567"/>
        <w:jc w:val="both"/>
        <w:rPr/>
      </w:pPr>
      <w:r>
        <w:rPr>
          <w:rFonts w:cs="Arial" w:ascii="Arial" w:hAnsi="Arial"/>
          <w:sz w:val="22"/>
          <w:szCs w:val="22"/>
        </w:rPr>
        <w:t>Os materiais básicos componentes como aparelhos e equipamentos a serem instalados, deverão atender aos padrões de fabricação e aos métodos de ensaio exigidos pela ABNT, assim como às especificações complementares da concessionária local.</w:t>
      </w:r>
    </w:p>
    <w:p>
      <w:pPr>
        <w:pStyle w:val="Normal"/>
        <w:bidi w:val="0"/>
        <w:spacing w:lineRule="auto" w:line="276" w:before="113" w:after="113"/>
        <w:ind w:left="0" w:right="0" w:firstLine="567"/>
        <w:jc w:val="both"/>
        <w:rPr/>
      </w:pPr>
      <w:r>
        <w:rPr>
          <w:rFonts w:cs="Arial" w:ascii="Arial" w:hAnsi="Arial"/>
          <w:sz w:val="22"/>
          <w:szCs w:val="22"/>
        </w:rPr>
        <w:t>As especificações dos materiais deverão ser seguidas rigorosamente. Cabe única e exclusivamente à Fiscalização aceitar ou não a similaridade dos materiais, marcas e fabricantes, que não estejam expressamente citados nestas especificações.</w:t>
      </w:r>
    </w:p>
    <w:p>
      <w:pPr>
        <w:pStyle w:val="Normal"/>
        <w:bidi w:val="0"/>
        <w:spacing w:lineRule="auto" w:line="276" w:before="113" w:after="113"/>
        <w:ind w:left="0" w:right="0" w:firstLine="567"/>
        <w:jc w:val="both"/>
        <w:rPr/>
      </w:pPr>
      <w:r>
        <w:rPr>
          <w:rFonts w:cs="Arial" w:ascii="Arial" w:hAnsi="Arial"/>
          <w:sz w:val="22"/>
          <w:szCs w:val="22"/>
        </w:rPr>
        <w:t xml:space="preserve">Também as especificações referentes a todos os serviços deverão ser seguidas rigidamente e complementadas pelo que está prescrito nas Normas Brasileiras pertinentes, no caso de eventual omissão. </w:t>
      </w:r>
    </w:p>
    <w:p>
      <w:pPr>
        <w:pStyle w:val="Normal"/>
        <w:bidi w:val="0"/>
        <w:spacing w:lineRule="auto" w:line="276" w:before="113" w:after="113"/>
        <w:ind w:left="0" w:right="0" w:firstLine="567"/>
        <w:jc w:val="both"/>
        <w:rPr/>
      </w:pPr>
      <w:r>
        <w:rPr>
          <w:rFonts w:cs="Arial" w:ascii="Arial" w:hAnsi="Arial"/>
          <w:sz w:val="22"/>
          <w:szCs w:val="22"/>
        </w:rPr>
        <w:t>Qualquer alteração que se fizer necessária deverá ser submetida à apreciação da Fiscalização, para a sua devida aprovação ou não.</w:t>
      </w:r>
    </w:p>
    <w:p>
      <w:pPr>
        <w:pStyle w:val="Normal"/>
        <w:bidi w:val="0"/>
        <w:spacing w:lineRule="auto" w:line="276" w:before="113" w:after="113"/>
        <w:ind w:left="0" w:right="0" w:firstLine="567"/>
        <w:jc w:val="both"/>
        <w:rPr/>
      </w:pPr>
      <w:r>
        <w:rPr>
          <w:rFonts w:cs="Arial" w:ascii="Arial" w:hAnsi="Arial"/>
          <w:sz w:val="22"/>
          <w:szCs w:val="22"/>
        </w:rPr>
        <w:t>Todas as instalações, tanto elétrica como telefônica, deverão ser testadas e entregues ao Contratante a contento e em pleno funcionamento, ficando a Contratada responsável pelo pagamento das taxas e demais despesas decorrentes de sua ligação à respectiva rede pública, devendo ser apresentada a declaração de cada concessionária de que cada entrada foi vistoriada e que se encontra de acordo com as normas locais.</w:t>
      </w:r>
    </w:p>
    <w:p>
      <w:pPr>
        <w:pStyle w:val="Normal"/>
        <w:bidi w:val="0"/>
        <w:spacing w:lineRule="auto" w:line="276" w:before="113" w:after="113"/>
        <w:ind w:left="0" w:right="0" w:firstLine="567"/>
        <w:jc w:val="both"/>
        <w:rPr/>
      </w:pPr>
      <w:r>
        <w:rPr>
          <w:rFonts w:cs="Arial" w:ascii="Arial" w:hAnsi="Arial"/>
          <w:sz w:val="22"/>
          <w:szCs w:val="22"/>
        </w:rPr>
        <w:t>Todos os aparelhos de iluminação, interruptores e tomadas deverão ser aterrados, em obediência à Lei Federal nº. 11.337, de 26 de julho de 2006, que disciplina a obrigatoriedade do sistema de aterramento nas instalações elétricas das edificações, mesmo aquelas de pequeno porte, com a utilização de um condutor – terra em cada aparelho elétrico.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b/>
          <w:b/>
          <w:bCs/>
        </w:rPr>
      </w:pPr>
      <w:r>
        <w:rPr>
          <w:rFonts w:cs="Arial" w:ascii="Arial" w:hAnsi="Arial"/>
          <w:b/>
          <w:bCs/>
          <w:sz w:val="22"/>
          <w:szCs w:val="22"/>
        </w:rPr>
        <w:t>CLIMATIZAÇÃO</w:t>
      </w:r>
    </w:p>
    <w:p>
      <w:pPr>
        <w:pStyle w:val="Normal"/>
        <w:bidi w:val="0"/>
        <w:spacing w:lineRule="auto" w:line="276" w:before="113" w:after="113"/>
        <w:ind w:left="0" w:right="0" w:firstLine="567"/>
        <w:jc w:val="both"/>
        <w:rPr/>
      </w:pPr>
      <w:r>
        <w:rPr>
          <w:rFonts w:cs="Arial" w:ascii="Arial" w:hAnsi="Arial"/>
          <w:sz w:val="22"/>
          <w:szCs w:val="22"/>
        </w:rPr>
        <w:t>Tubulação em cobre Ø 28 mm para interligação de Split System ao condensador/evaporador, inclusive caixa de passagem de parede, isolante térmico, alimentação elétrica, conexões e fixações para aparelhos até 48.000 BTU.</w:t>
      </w:r>
    </w:p>
    <w:p>
      <w:pPr>
        <w:pStyle w:val="Normal"/>
        <w:bidi w:val="0"/>
        <w:spacing w:lineRule="auto" w:line="276" w:before="113" w:after="113"/>
        <w:ind w:left="0" w:right="0" w:firstLine="567"/>
        <w:jc w:val="both"/>
        <w:rPr/>
      </w:pPr>
      <w:r>
        <w:rPr>
          <w:rFonts w:cs="Arial" w:ascii="Arial" w:hAnsi="Arial"/>
          <w:sz w:val="22"/>
          <w:szCs w:val="22"/>
        </w:rPr>
        <w:t>De maneira a amenizar as altas temperaturas que acometem toda a região no período de verão e, em consonância com procedimentos gerais assumidos pela Administração Pública Municipal em oferecer melhor local de trabalho para seus servidores e espaço digno para o atendimento da população em geral segundo a NBR 16401, será executado a preparação das instalações de condicionadores de ar “Split System” com potência variando de 24.000 BTUs dependendo do ambiente a determinado pela fiscalização. Suas instalações contarão com caixa em parede embutida (posteriormente tampa de acabamento), tubulação de cobre com diâmetro compatível com a potência a ser instalada, fiação e eletrodutos até o quadro de distribuição e drenagem conforme modelo a seguir:</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drawing>
          <wp:inline distT="0" distB="0" distL="0" distR="0">
            <wp:extent cx="5760720" cy="3000375"/>
            <wp:effectExtent l="0" t="0" r="0" b="0"/>
            <wp:docPr id="4" name="Imagem 7" descr="caixa-pre-instalacao-split-7000-a-30000-btus-14285-MLB4405415836_052013-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caixa-pre-instalacao-split-7000-a-30000-btus-14285-MLB4405415836_052013-O"/>
                    <pic:cNvPicPr>
                      <a:picLocks noChangeAspect="1" noChangeArrowheads="1"/>
                    </pic:cNvPicPr>
                  </pic:nvPicPr>
                  <pic:blipFill>
                    <a:blip r:embed="rId5"/>
                    <a:stretch>
                      <a:fillRect/>
                    </a:stretch>
                  </pic:blipFill>
                  <pic:spPr bwMode="auto">
                    <a:xfrm>
                      <a:off x="0" y="0"/>
                      <a:ext cx="5760720" cy="3000375"/>
                    </a:xfrm>
                    <a:prstGeom prst="rect">
                      <a:avLst/>
                    </a:prstGeom>
                  </pic:spPr>
                </pic:pic>
              </a:graphicData>
            </a:graphic>
          </wp:inline>
        </w:drawing>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Instalação de tubos de PVC, soldável, drenos para split, dn 25 mm (instalado em ramal, sub-ramal, ramal de distribuição ou prumada), inclusive conexões, cortes e fixação.</w:t>
      </w:r>
    </w:p>
    <w:p>
      <w:pPr>
        <w:pStyle w:val="Style11"/>
        <w:keepLines/>
        <w:widowControl/>
        <w:bidi w:val="0"/>
        <w:spacing w:lineRule="auto" w:line="276" w:before="113" w:after="113"/>
        <w:ind w:left="0" w:right="0" w:firstLine="567"/>
        <w:jc w:val="both"/>
        <w:rPr/>
      </w:pPr>
      <w:r>
        <w:rPr>
          <w:rFonts w:cs="Arial" w:ascii="Arial" w:hAnsi="Arial"/>
          <w:sz w:val="22"/>
          <w:szCs w:val="22"/>
        </w:rPr>
        <w:t>Os dutos condutores de água fria, assim como suas conexões, serão de material fabricado em PVC soldável (classe marrom), de marca reconhecida, com bitolas compatíveis com o estabelecido no próprio projeto.</w:t>
      </w:r>
    </w:p>
    <w:p>
      <w:pPr>
        <w:pStyle w:val="Style11"/>
        <w:keepLines/>
        <w:widowControl/>
        <w:bidi w:val="0"/>
        <w:spacing w:lineRule="auto" w:line="276" w:before="113" w:after="113"/>
        <w:ind w:left="0" w:right="0"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113" w:after="113"/>
        <w:ind w:left="0" w:right="0" w:firstLine="567"/>
        <w:jc w:val="both"/>
        <w:rPr/>
      </w:pPr>
      <w:r>
        <w:rPr>
          <w:rFonts w:cs="Arial" w:ascii="Arial" w:hAnsi="Arial"/>
          <w:sz w:val="22"/>
          <w:szCs w:val="22"/>
        </w:rPr>
        <w:t>Todos os dutos da rede de água potável serão testados contra eventuais vazamentos, hidrostaticamente e sob pressão, por meio de bomba manual de pistão, e antes do fechamento dos rasgos em alvenarias e das valas abertas pelo solo.</w:t>
      </w:r>
    </w:p>
    <w:p>
      <w:pPr>
        <w:pStyle w:val="Normal"/>
        <w:bidi w:val="0"/>
        <w:spacing w:lineRule="auto" w:line="276" w:before="113" w:after="113"/>
        <w:ind w:left="0" w:right="0" w:firstLine="567"/>
        <w:jc w:val="both"/>
        <w:rPr/>
      </w:pPr>
      <w:r>
        <w:rPr>
          <w:rFonts w:cs="Arial" w:ascii="Arial" w:hAnsi="Arial"/>
          <w:sz w:val="22"/>
          <w:szCs w:val="22"/>
        </w:rPr>
        <w:t>Ar-condicionado tipo split systen 24.000 BTUs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t>Serão Instalados aparelhos novos, deverão ser entregues a fiscalização a garantia e informações e manual do fabricante do aparelho.</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13 INSTALAÇÕES HIDROSSANITÁRIAS</w:t>
      </w:r>
    </w:p>
    <w:p>
      <w:pPr>
        <w:pStyle w:val="Normal"/>
        <w:bidi w:val="0"/>
        <w:spacing w:lineRule="auto" w:line="276" w:before="113" w:after="113"/>
        <w:ind w:left="0" w:right="0" w:firstLine="567"/>
        <w:jc w:val="both"/>
        <w:rPr/>
      </w:pPr>
      <w:r>
        <w:rPr>
          <w:rFonts w:cs="Arial" w:ascii="Arial" w:hAnsi="Arial"/>
          <w:sz w:val="22"/>
          <w:szCs w:val="22"/>
        </w:rPr>
        <w:t>13.1 INSTALAÇÕES HIDRÁULICAS</w:t>
      </w:r>
    </w:p>
    <w:p>
      <w:pPr>
        <w:pStyle w:val="Normal"/>
        <w:bidi w:val="0"/>
        <w:spacing w:lineRule="auto" w:line="276" w:before="113" w:after="113"/>
        <w:ind w:left="0" w:right="0" w:firstLine="567"/>
        <w:jc w:val="both"/>
        <w:rPr/>
      </w:pPr>
      <w:r>
        <w:rPr>
          <w:rFonts w:cs="Arial" w:ascii="Arial" w:hAnsi="Arial"/>
          <w:sz w:val="22"/>
          <w:szCs w:val="22"/>
        </w:rPr>
        <w:t>A tubulação prevista no projeto hidráulico alimentará, por gravidade, todos os pontos de uso efetivo da edificação. Os dutos condutores de água fria, assim como suas conexões, serão de material fabricado em PVC soldável (classe marrom), de marca reconhecida, com bitolas compatíveis com o estabelecido no próprio projeto.</w:t>
      </w:r>
    </w:p>
    <w:p>
      <w:pPr>
        <w:pStyle w:val="Normal"/>
        <w:bidi w:val="0"/>
        <w:spacing w:lineRule="auto" w:line="276" w:before="113" w:after="113"/>
        <w:ind w:left="0" w:right="0"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113" w:after="113"/>
        <w:ind w:left="0" w:right="0" w:firstLine="567"/>
        <w:jc w:val="both"/>
        <w:rPr/>
      </w:pPr>
      <w:r>
        <w:rPr>
          <w:rFonts w:cs="Arial" w:ascii="Arial" w:hAnsi="Arial"/>
          <w:sz w:val="22"/>
          <w:szCs w:val="22"/>
        </w:rPr>
        <w:t>OBS: Foi previsto um registro de parede em todos os ambientes (ou ambientes contíguos) que façam uso de instalações hidrossanitárias.</w:t>
      </w:r>
    </w:p>
    <w:p>
      <w:pPr>
        <w:pStyle w:val="Normal"/>
        <w:bidi w:val="0"/>
        <w:spacing w:lineRule="auto" w:line="276" w:before="113" w:after="113"/>
        <w:ind w:left="0" w:right="0" w:firstLine="567"/>
        <w:jc w:val="both"/>
        <w:rPr/>
      </w:pPr>
      <w:r>
        <w:rPr>
          <w:rFonts w:cs="Arial" w:ascii="Arial" w:hAnsi="Arial"/>
          <w:sz w:val="22"/>
          <w:szCs w:val="22"/>
        </w:rPr>
        <w:t xml:space="preserve">Todas as instalações de água potável deverão ser executadas de acordo com o projeto hidráulico, que estará fundamentado na NBR 5626/98. </w:t>
      </w:r>
    </w:p>
    <w:p>
      <w:pPr>
        <w:pStyle w:val="Normal"/>
        <w:bidi w:val="0"/>
        <w:spacing w:lineRule="auto" w:line="276" w:before="113" w:after="113"/>
        <w:ind w:left="0" w:right="0" w:firstLine="567"/>
        <w:jc w:val="both"/>
        <w:rPr/>
      </w:pPr>
      <w:r>
        <w:rPr>
          <w:rFonts w:cs="Arial" w:ascii="Arial" w:hAnsi="Arial"/>
          <w:sz w:val="22"/>
          <w:szCs w:val="22"/>
        </w:rPr>
        <w:t>O abastecimento de água potável se dará de forma independente, mediante cavalete próprio de entrada da água com medidor, segundo padrões da concessionária local, e atenderá toda a demanda necessária prevista no projeto.</w:t>
      </w:r>
    </w:p>
    <w:p>
      <w:pPr>
        <w:pStyle w:val="Normal"/>
        <w:bidi w:val="0"/>
        <w:spacing w:lineRule="auto" w:line="276" w:before="113" w:after="113"/>
        <w:ind w:left="0" w:right="0" w:firstLine="567"/>
        <w:jc w:val="both"/>
        <w:rPr/>
      </w:pPr>
      <w:r>
        <w:rPr>
          <w:rFonts w:cs="Arial" w:ascii="Arial" w:hAnsi="Arial"/>
          <w:sz w:val="22"/>
          <w:szCs w:val="22"/>
        </w:rPr>
        <w:t>O sistema de alimentação utilizado será o indireto, ou seja, a partir do cavalete com medidor, o líquido potável fluirá até os reservatórios elevados, constituídos por material de polietileno com capacidade de 2000 litros e estacionados sobre estrado de madeira reforçado.</w:t>
      </w:r>
    </w:p>
    <w:p>
      <w:pPr>
        <w:pStyle w:val="Normal"/>
        <w:bidi w:val="0"/>
        <w:spacing w:lineRule="auto" w:line="276" w:before="113" w:after="113"/>
        <w:ind w:left="0" w:right="0" w:firstLine="567"/>
        <w:jc w:val="both"/>
        <w:rPr/>
      </w:pPr>
      <w:r>
        <w:rPr>
          <w:rFonts w:cs="Arial" w:ascii="Arial" w:hAnsi="Arial"/>
          <w:sz w:val="22"/>
          <w:szCs w:val="22"/>
        </w:rPr>
        <w:t>A ligação do bloco a ser ampliado será entroncada na alimentação existente conforma projeto hidrossanitário.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b w:val="false"/>
          <w:b w:val="false"/>
          <w:bCs w:val="false"/>
        </w:rPr>
      </w:pPr>
      <w:r>
        <w:rPr>
          <w:rFonts w:cs="Arial" w:ascii="Arial" w:hAnsi="Arial"/>
          <w:b w:val="false"/>
          <w:bCs w:val="false"/>
          <w:sz w:val="22"/>
          <w:szCs w:val="22"/>
        </w:rPr>
        <w:t>13.2 INSTALAÇÕES SANITÁRIAS</w:t>
      </w:r>
    </w:p>
    <w:p>
      <w:pPr>
        <w:pStyle w:val="Normal"/>
        <w:bidi w:val="0"/>
        <w:spacing w:lineRule="auto" w:line="276" w:before="113" w:after="113"/>
        <w:ind w:left="0" w:right="0" w:firstLine="567"/>
        <w:jc w:val="both"/>
        <w:rPr/>
      </w:pPr>
      <w:r>
        <w:rPr>
          <w:rFonts w:cs="Arial" w:ascii="Arial" w:hAnsi="Arial"/>
          <w:sz w:val="22"/>
          <w:szCs w:val="22"/>
        </w:rPr>
        <w:t>As instalações de esgoto sanitário serão executadas de conformidade com o exigido no respectivo projeto básico.</w:t>
      </w:r>
    </w:p>
    <w:p>
      <w:pPr>
        <w:pStyle w:val="Normal"/>
        <w:bidi w:val="0"/>
        <w:spacing w:lineRule="auto" w:line="276" w:before="113" w:after="113"/>
        <w:ind w:left="0" w:right="0" w:firstLine="567"/>
        <w:jc w:val="both"/>
        <w:rPr/>
      </w:pPr>
      <w:r>
        <w:rPr>
          <w:rFonts w:cs="Arial" w:ascii="Arial" w:hAnsi="Arial"/>
          <w:sz w:val="22"/>
          <w:szCs w:val="22"/>
        </w:rPr>
        <w:t xml:space="preserve">Estas instalações deverão ser executadas por profissionais especializados e conhecedores da boa técnica executiva, assim como os materiais aplicados deverão ter procedência nacional e qualidade de primeira linha, descartando-se quaisquer produtos que não atendam as normas pertinentes da ABNT e do INMETRO. </w:t>
      </w:r>
    </w:p>
    <w:p>
      <w:pPr>
        <w:pStyle w:val="Normal"/>
        <w:bidi w:val="0"/>
        <w:spacing w:lineRule="auto" w:line="276" w:before="113" w:after="113"/>
        <w:ind w:left="0" w:right="0" w:firstLine="567"/>
        <w:jc w:val="both"/>
        <w:rPr/>
      </w:pPr>
      <w:r>
        <w:rPr>
          <w:rFonts w:cs="Arial" w:ascii="Arial" w:hAnsi="Arial"/>
          <w:sz w:val="22"/>
          <w:szCs w:val="22"/>
        </w:rPr>
        <w:t>Nos ambientes geradores de esgoto sanitário, como sanitários, copa e área de serviço, cada ramal secundário será interligado ao seu respectivo primário, seguindo este até a primeira caixa de inspeção, quando então será constituída a rede externa que se estenderá até o sistema de tratamento (Fossa e Filtro Anaeróbio), no qual serão lançados os efluentes finais do esgoto doméstico. Caso exista na localidade do ente federado rede pública de esgoto, obrigatoriamente os efluentes serão nela lançados.</w:t>
      </w:r>
    </w:p>
    <w:p>
      <w:pPr>
        <w:pStyle w:val="Normal"/>
        <w:bidi w:val="0"/>
        <w:spacing w:lineRule="auto" w:line="276" w:before="113" w:after="113"/>
        <w:ind w:left="0" w:right="0" w:firstLine="567"/>
        <w:jc w:val="both"/>
        <w:rPr/>
      </w:pPr>
      <w:r>
        <w:rPr>
          <w:rFonts w:cs="Arial" w:ascii="Arial" w:hAnsi="Arial"/>
          <w:sz w:val="22"/>
          <w:szCs w:val="22"/>
        </w:rPr>
        <w:t>As tubulações da rede externa de esgoto, quando enterradas, devem ser assentadas sobre terreno com base firme e recobrimento mínimo de 0,40m. Caso nestes trechos não seja possível o recobrimento, ou onde a tubulação esteja sujeita a fortes compressões por choques mecânicos, então a proteção em lastro de concreto sobre areia será no sentido de aumentar sua resistência mecânica.</w:t>
      </w:r>
    </w:p>
    <w:p>
      <w:pPr>
        <w:pStyle w:val="Normal"/>
        <w:bidi w:val="0"/>
        <w:spacing w:lineRule="auto" w:line="276" w:before="113" w:after="113"/>
        <w:ind w:left="0" w:right="0" w:firstLine="567"/>
        <w:jc w:val="both"/>
        <w:rPr/>
      </w:pPr>
      <w:r>
        <w:rPr>
          <w:rFonts w:cs="Arial" w:ascii="Arial" w:hAnsi="Arial"/>
          <w:sz w:val="22"/>
          <w:szCs w:val="22"/>
        </w:rPr>
        <w:t>A fim de se verificar a possibilidade de algum vazamento, que eventualmente venha a ocorrer na rede de esgoto por deficiências executivas, todas as tubulações, tanto a primária como a secundária, serão submetidas ao teste de fumaça ou ao teste da coluna de água.</w:t>
      </w:r>
    </w:p>
    <w:p>
      <w:pPr>
        <w:pStyle w:val="Normal"/>
        <w:bidi w:val="0"/>
        <w:spacing w:lineRule="auto" w:line="276" w:before="113" w:after="113"/>
        <w:ind w:left="0" w:right="0" w:firstLine="567"/>
        <w:jc w:val="both"/>
        <w:rPr/>
      </w:pPr>
      <w:r>
        <w:rPr>
          <w:rFonts w:cs="Arial" w:ascii="Arial" w:hAnsi="Arial"/>
          <w:sz w:val="22"/>
          <w:szCs w:val="22"/>
        </w:rPr>
        <w:t>Após a execução deste teste, toda a tubulação do esgoto sanitário que passa pelo piso da edificação será envolvida com areia média para proteção do material, antes do reaterro e compactação das cavas.</w:t>
      </w:r>
    </w:p>
    <w:p>
      <w:pPr>
        <w:pStyle w:val="Normal"/>
        <w:bidi w:val="0"/>
        <w:spacing w:lineRule="auto" w:line="276" w:before="113" w:after="113"/>
        <w:ind w:left="0" w:right="0" w:firstLine="567"/>
        <w:jc w:val="both"/>
        <w:rPr/>
      </w:pPr>
      <w:r>
        <w:rPr>
          <w:rFonts w:cs="Arial" w:ascii="Arial" w:hAnsi="Arial"/>
          <w:sz w:val="22"/>
          <w:szCs w:val="22"/>
        </w:rPr>
        <w:t>As instalações hidrossanitárias devem seguir as orientações e especificações contidas em memorial descritivo específico, elaborado pela CONTRATADA e aprovado pela CONTRATANTE com o projeto hidrossanitário.</w:t>
      </w:r>
    </w:p>
    <w:p>
      <w:pPr>
        <w:pStyle w:val="Normal"/>
        <w:bidi w:val="0"/>
        <w:spacing w:lineRule="auto" w:line="276" w:before="113" w:after="113"/>
        <w:ind w:left="0" w:right="0" w:firstLine="567"/>
        <w:jc w:val="both"/>
        <w:rPr/>
      </w:pPr>
      <w:r>
        <w:rPr>
          <w:rFonts w:cs="Arial" w:ascii="Arial" w:hAnsi="Arial"/>
          <w:sz w:val="22"/>
          <w:szCs w:val="22"/>
        </w:rPr>
        <w:t xml:space="preserve">A rede hidrossanitária após executada, deverá ser totalmente revisada e desobstruída, sendo testados todos os pontos. </w:t>
      </w:r>
    </w:p>
    <w:p>
      <w:pPr>
        <w:pStyle w:val="Normal"/>
        <w:bidi w:val="0"/>
        <w:spacing w:lineRule="auto" w:line="276" w:before="113" w:after="113"/>
        <w:ind w:left="0" w:right="0" w:firstLine="567"/>
        <w:jc w:val="both"/>
        <w:rPr/>
      </w:pPr>
      <w:r>
        <w:rPr>
          <w:rFonts w:cs="Arial" w:ascii="Arial" w:hAnsi="Arial"/>
          <w:sz w:val="22"/>
          <w:szCs w:val="22"/>
        </w:rPr>
        <w:t>Todos os serviços de instalações hidrossanitários deverão ser executados com materiais de primeira qualidade e primeiro uso, padronizados pela ABNT.</w:t>
      </w:r>
    </w:p>
    <w:p>
      <w:pPr>
        <w:pStyle w:val="Normal"/>
        <w:bidi w:val="0"/>
        <w:spacing w:lineRule="auto" w:line="276" w:before="113" w:after="113"/>
        <w:ind w:left="0" w:right="0" w:firstLine="567"/>
        <w:jc w:val="both"/>
        <w:rPr/>
      </w:pPr>
      <w:r>
        <w:rPr>
          <w:rFonts w:cs="Arial" w:ascii="Arial" w:hAnsi="Arial"/>
          <w:sz w:val="22"/>
          <w:szCs w:val="22"/>
        </w:rPr>
        <w:t>Todos os serviços deverão ser executados obedecendo integralmente às normas, técnicas e recomendações indicadas pelo fabricante dos componentes em utilização.</w:t>
      </w:r>
    </w:p>
    <w:p>
      <w:pPr>
        <w:pStyle w:val="Normal"/>
        <w:bidi w:val="0"/>
        <w:spacing w:lineRule="auto" w:line="276" w:before="113" w:after="113"/>
        <w:ind w:left="0" w:right="0" w:firstLine="567"/>
        <w:jc w:val="both"/>
        <w:rPr/>
      </w:pPr>
      <w:r>
        <w:rPr>
          <w:rFonts w:cs="Arial" w:ascii="Arial" w:hAnsi="Arial"/>
          <w:sz w:val="22"/>
          <w:szCs w:val="22"/>
        </w:rPr>
        <w:t xml:space="preserve">Deverão ser observados detalhes de rosqueamento, encaixe, dilatação, golpe de Ariete e montagem, de maneira a obter-se qualidade e segurança, sem risco de vazamentos ou acidentes. </w:t>
      </w:r>
    </w:p>
    <w:p>
      <w:pPr>
        <w:pStyle w:val="Normal"/>
        <w:bidi w:val="0"/>
        <w:spacing w:lineRule="auto" w:line="276" w:before="113" w:after="113"/>
        <w:ind w:left="0" w:right="0" w:firstLine="567"/>
        <w:jc w:val="both"/>
        <w:rPr/>
      </w:pPr>
      <w:r>
        <w:rPr>
          <w:rFonts w:cs="Arial" w:ascii="Arial" w:hAnsi="Arial"/>
          <w:sz w:val="22"/>
          <w:szCs w:val="22"/>
        </w:rPr>
        <w:t>É proibida a vedação das conexões roscáveis com cordão e tinta. Todas as vedações deverão ser feitas com fita teflon.</w:t>
      </w:r>
    </w:p>
    <w:p>
      <w:pPr>
        <w:pStyle w:val="Normal"/>
        <w:bidi w:val="0"/>
        <w:spacing w:lineRule="auto" w:line="276" w:before="113" w:after="113"/>
        <w:ind w:left="0" w:right="0" w:firstLine="567"/>
        <w:jc w:val="both"/>
        <w:rPr/>
      </w:pPr>
      <w:r>
        <w:rPr>
          <w:rFonts w:cs="Arial" w:ascii="Arial" w:hAnsi="Arial"/>
          <w:sz w:val="22"/>
          <w:szCs w:val="22"/>
        </w:rPr>
        <w:t>Deverá ser evitada a passagem de tubulações de água pelo piso. Nas passagens por aberturas deverá ser evitada a formação de sifão (“U”).</w:t>
      </w:r>
    </w:p>
    <w:p>
      <w:pPr>
        <w:pStyle w:val="Normal"/>
        <w:bidi w:val="0"/>
        <w:spacing w:lineRule="auto" w:line="276" w:before="113" w:after="113"/>
        <w:ind w:left="0" w:right="0" w:firstLine="567"/>
        <w:jc w:val="both"/>
        <w:rPr/>
      </w:pPr>
      <w:r>
        <w:rPr>
          <w:rFonts w:cs="Arial" w:ascii="Arial" w:hAnsi="Arial"/>
          <w:sz w:val="22"/>
          <w:szCs w:val="22"/>
        </w:rPr>
        <w:t>Nas canalizações de coleta, tanto pluvial quanto de esgoto, deverá ser observado o caimento e alinhamento corretos, permitindo perfeito escoamento.</w:t>
      </w:r>
    </w:p>
    <w:p>
      <w:pPr>
        <w:pStyle w:val="Normal"/>
        <w:bidi w:val="0"/>
        <w:spacing w:lineRule="auto" w:line="276" w:before="113" w:after="113"/>
        <w:ind w:left="0" w:right="0" w:firstLine="567"/>
        <w:jc w:val="both"/>
        <w:rPr/>
      </w:pPr>
      <w:r>
        <w:rPr>
          <w:rFonts w:cs="Arial" w:ascii="Arial" w:hAnsi="Arial"/>
          <w:sz w:val="22"/>
          <w:szCs w:val="22"/>
        </w:rPr>
        <w:t>Os tubos deverão ser envoltos com material granular (areia) bem compactado e isento de pedras ou outros materiais que possam danificá-los.</w:t>
      </w:r>
    </w:p>
    <w:p>
      <w:pPr>
        <w:pStyle w:val="Normal"/>
        <w:bidi w:val="0"/>
        <w:spacing w:lineRule="auto" w:line="276" w:before="113" w:after="113"/>
        <w:ind w:left="0" w:right="0" w:firstLine="567"/>
        <w:jc w:val="both"/>
        <w:rPr/>
      </w:pPr>
      <w:r>
        <w:rPr>
          <w:rFonts w:cs="Arial" w:ascii="Arial" w:hAnsi="Arial"/>
          <w:sz w:val="22"/>
          <w:szCs w:val="22"/>
        </w:rPr>
        <w:t>A c</w:t>
      </w:r>
      <w:r>
        <w:rPr>
          <w:rFonts w:cs="Arial" w:ascii="Arial" w:hAnsi="Arial"/>
          <w:b w:val="false"/>
          <w:bCs w:val="false"/>
          <w:sz w:val="22"/>
          <w:szCs w:val="22"/>
        </w:rPr>
        <w:t>onexão dos tubos deverá ser efetuada conforme orientações técnicas dos fabricantes, utilizando solução limpadora e adesivo ou lubrificante, conforme projetado.</w:t>
      </w:r>
    </w:p>
    <w:p>
      <w:pPr>
        <w:pStyle w:val="Normal"/>
        <w:bidi w:val="0"/>
        <w:spacing w:lineRule="auto" w:line="276" w:before="113" w:after="113"/>
        <w:ind w:left="0" w:right="0" w:firstLine="567"/>
        <w:jc w:val="both"/>
        <w:rPr/>
      </w:pPr>
      <w:r>
        <w:rPr>
          <w:rFonts w:cs="Arial" w:ascii="Arial" w:hAnsi="Arial"/>
          <w:b w:val="false"/>
          <w:bCs w:val="false"/>
          <w:sz w:val="22"/>
          <w:szCs w:val="22"/>
        </w:rPr>
        <w:t>Os aparelhos como vasos sanitários, lavatórios, mictórios, pias de cozinha, tanques de lavanderia, reservatórios de água e demais (quantitativamente especificados nas planilhas de custos), deverão ser fornecidos completos, ou seja, juntamente a estes deverão ser fornecidos todos os acessórios necessários a seu pleno funcionamento, tais sejam: assentos, válvulas de descarga, registros, ligações, válvulas de saída, elementos de fixação, vedação, apoios, torneiras bóias, flanges, conexões, sifãos, etc.</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14 INSTALAÇÕES DE ÁGUAS PLUVIAIS</w:t>
      </w:r>
    </w:p>
    <w:p>
      <w:pPr>
        <w:pStyle w:val="Normal"/>
        <w:bidi w:val="0"/>
        <w:spacing w:lineRule="auto" w:line="276" w:before="113" w:after="113"/>
        <w:ind w:left="0" w:right="0" w:firstLine="567"/>
        <w:jc w:val="both"/>
        <w:rPr/>
      </w:pPr>
      <w:r>
        <w:rPr>
          <w:rFonts w:cs="Arial" w:ascii="Arial" w:hAnsi="Arial"/>
          <w:sz w:val="22"/>
          <w:szCs w:val="22"/>
        </w:rPr>
        <w:t>As instalações de captação de águas pluviais serão executadas de acordo com o respectivo projeto básico.</w:t>
      </w:r>
    </w:p>
    <w:p>
      <w:pPr>
        <w:pStyle w:val="Normal"/>
        <w:bidi w:val="0"/>
        <w:spacing w:lineRule="auto" w:line="276" w:before="113" w:after="113"/>
        <w:ind w:left="0" w:right="0" w:firstLine="567"/>
        <w:jc w:val="both"/>
        <w:rPr/>
      </w:pPr>
      <w:r>
        <w:rPr>
          <w:rFonts w:cs="Arial" w:ascii="Arial" w:hAnsi="Arial"/>
          <w:sz w:val="22"/>
          <w:szCs w:val="22"/>
        </w:rPr>
        <w:t>A tubulação da rede prevista no projeto escoará, por gravidade, todo o volume de água pluvial captada e acumulada nas calhas da cobertura da edificação.</w:t>
      </w:r>
    </w:p>
    <w:p>
      <w:pPr>
        <w:pStyle w:val="Normal"/>
        <w:bidi w:val="0"/>
        <w:spacing w:lineRule="auto" w:line="276" w:before="113" w:after="113"/>
        <w:ind w:left="0" w:right="0" w:firstLine="567"/>
        <w:jc w:val="both"/>
        <w:rPr/>
      </w:pPr>
      <w:r>
        <w:rPr>
          <w:rFonts w:cs="Arial" w:ascii="Arial" w:hAnsi="Arial"/>
          <w:sz w:val="22"/>
          <w:szCs w:val="22"/>
        </w:rPr>
        <w:t>As descidas da rede de captação serão lançadas diretamente nas caixas de captação pluvial (CCP), com grelha F°F°, situadas na área externa da edificação, que serão interligadas entre si por meio dos dutos de PVC (mínimo de 150 mm), envolvidos com areia media antes do reaterro das valas, sendo que as águas captadas terão por destino final as sarjetas das vias públicas e (ou) o próprio terreno da obra, que contenha área verde. As grelhas F°F° terão tela de nylon fina tipo mosqueteiro para evitar a proliferação de insetos. A</w:t>
      </w:r>
      <w:r>
        <w:rPr>
          <w:rFonts w:cs="Arial" w:ascii="Arial" w:hAnsi="Arial"/>
          <w:b w:val="false"/>
          <w:bCs w:val="false"/>
          <w:sz w:val="22"/>
          <w:szCs w:val="22"/>
        </w:rPr>
        <w:t xml:space="preserve"> drenagem do pátio se dera por Dreno Francês, com tubo de PVC 100 mm perfurado envolto com brita número 2 e envelopado com manta geo-têxtil ligado a caixas de inspeção e areia. </w:t>
      </w:r>
    </w:p>
    <w:p>
      <w:pPr>
        <w:pStyle w:val="Normal"/>
        <w:bidi w:val="0"/>
        <w:spacing w:lineRule="auto" w:line="276" w:before="113" w:after="113"/>
        <w:ind w:left="0" w:right="0" w:firstLine="567"/>
        <w:jc w:val="both"/>
        <w:rPr>
          <w:rFonts w:ascii="Arial" w:hAnsi="Arial" w:cs="Arial"/>
          <w:b w:val="false"/>
          <w:b w:val="false"/>
          <w:bCs w:val="false"/>
          <w:sz w:val="22"/>
          <w:szCs w:val="22"/>
        </w:rPr>
      </w:pPr>
      <w:r>
        <w:rPr>
          <w:rFonts w:cs="Arial" w:ascii="Arial" w:hAnsi="Arial"/>
          <w:b w:val="false"/>
          <w:bCs w:val="false"/>
          <w:sz w:val="22"/>
          <w:szCs w:val="22"/>
        </w:rPr>
      </w:r>
    </w:p>
    <w:p>
      <w:pPr>
        <w:pStyle w:val="Normal"/>
        <w:bidi w:val="0"/>
        <w:spacing w:lineRule="auto" w:line="276" w:before="113" w:after="113"/>
        <w:ind w:left="0" w:right="0" w:firstLine="567"/>
        <w:jc w:val="both"/>
        <w:rPr/>
      </w:pPr>
      <w:r>
        <w:rPr>
          <w:rFonts w:cs="Arial" w:ascii="Arial" w:hAnsi="Arial"/>
          <w:b/>
          <w:bCs/>
          <w:i w:val="false"/>
          <w:iCs w:val="false"/>
          <w:sz w:val="22"/>
          <w:szCs w:val="22"/>
        </w:rPr>
        <w:t>15 PINTURA</w:t>
      </w:r>
    </w:p>
    <w:p>
      <w:pPr>
        <w:pStyle w:val="Normal"/>
        <w:bidi w:val="0"/>
        <w:spacing w:lineRule="auto" w:line="276" w:before="113" w:after="113"/>
        <w:ind w:left="0" w:right="0" w:firstLine="567"/>
        <w:jc w:val="both"/>
        <w:rPr/>
      </w:pPr>
      <w:r>
        <w:rPr>
          <w:rFonts w:cs="Arial" w:ascii="Arial" w:hAnsi="Arial"/>
          <w:sz w:val="22"/>
          <w:szCs w:val="22"/>
        </w:rPr>
        <w:t xml:space="preserve">As paredes internas, externas e tetos serão pintados com tinta acrílica de qualidade, a ser aferida pela fiscalização, em duas demãos. No entorno do bloco novo a ser ampliado, nas paredes externas onde não houver pastilha cerâmica o mesmo receberá uma faixa de </w:t>
      </w:r>
      <w:r>
        <w:rPr>
          <w:rFonts w:cs="Arial" w:ascii="Arial" w:hAnsi="Arial"/>
          <w:b/>
          <w:sz w:val="22"/>
          <w:szCs w:val="22"/>
        </w:rPr>
        <w:t>Azul Del Rey</w:t>
      </w:r>
      <w:r>
        <w:rPr>
          <w:rFonts w:cs="Arial" w:ascii="Arial" w:hAnsi="Arial"/>
          <w:sz w:val="22"/>
          <w:szCs w:val="22"/>
        </w:rPr>
        <w:t xml:space="preserve"> com altura de 1,20 m do piso acabado a ser definido pela fiscalização de obras.</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As alvenarias internas e externas bem como da murada de entorno das Unidades da Rede Municipal de Ensino: </w:t>
      </w:r>
      <w:r>
        <w:rPr>
          <w:rFonts w:cs="Arial" w:ascii="Arial" w:hAnsi="Arial"/>
          <w:b/>
          <w:i w:val="false"/>
          <w:iCs w:val="false"/>
          <w:sz w:val="22"/>
          <w:szCs w:val="22"/>
        </w:rPr>
        <w:t>Serão do tipo acrílico fosco: Amarelo Sol, Azul Del Rey e Branco</w:t>
      </w:r>
      <w:r>
        <w:rPr>
          <w:rFonts w:cs="Arial" w:ascii="Arial" w:hAnsi="Arial"/>
          <w:i w:val="false"/>
          <w:iCs w:val="false"/>
          <w:sz w:val="22"/>
          <w:szCs w:val="22"/>
        </w:rPr>
        <w:t xml:space="preserve">, o estudo bem como a disposição das cores em volumes e estruturas será definido com a direção da unidade com a fiscalização de obras antes do início dos serviços de pintura. No caso de estruturas metálicas e madeiras: </w:t>
      </w:r>
      <w:r>
        <w:rPr>
          <w:rFonts w:cs="Arial" w:ascii="Arial" w:hAnsi="Arial"/>
          <w:b/>
          <w:i w:val="false"/>
          <w:iCs w:val="false"/>
          <w:sz w:val="22"/>
          <w:szCs w:val="22"/>
        </w:rPr>
        <w:t xml:space="preserve">Serão do tipo esmalte sintético fosco: Amarelo Ouro, Azul Del Rey e Branco, </w:t>
      </w:r>
      <w:r>
        <w:rPr>
          <w:rFonts w:cs="Arial" w:ascii="Arial" w:hAnsi="Arial"/>
          <w:i w:val="false"/>
          <w:iCs w:val="false"/>
          <w:sz w:val="22"/>
          <w:szCs w:val="22"/>
        </w:rPr>
        <w:t>o estudo bem como a disposição das cores em volumes e estruturas será definido com a direção da unidade com a fiscalização de obras antes do início dos serviços de pintura.</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0" w:right="0" w:firstLine="567"/>
        <w:jc w:val="both"/>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0" w:right="0" w:firstLine="567"/>
        <w:jc w:val="both"/>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0" w:right="0" w:firstLine="567"/>
        <w:jc w:val="both"/>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0" w:right="0" w:firstLine="567"/>
        <w:jc w:val="both"/>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As cores serão indicadas pelo autor do projeto. </w:t>
      </w:r>
    </w:p>
    <w:p>
      <w:pPr>
        <w:pStyle w:val="Normal"/>
        <w:bidi w:val="0"/>
        <w:spacing w:lineRule="auto" w:line="276" w:before="113" w:after="113"/>
        <w:ind w:left="0" w:right="0" w:firstLine="567"/>
        <w:jc w:val="both"/>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0" w:right="0" w:firstLine="567"/>
        <w:jc w:val="both"/>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0" w:right="0" w:firstLine="567"/>
        <w:jc w:val="both"/>
        <w:rPr/>
      </w:pPr>
      <w:r>
        <w:rPr>
          <w:rFonts w:cs="Arial" w:ascii="Arial" w:hAnsi="Arial"/>
          <w:sz w:val="22"/>
          <w:szCs w:val="22"/>
        </w:rPr>
        <w:t xml:space="preserve">Na pintura da nova unidade, será considerada a paleta de cores utilizada na construção antiga, para que não destoem uma da outra. Os tons de branco, cinza, azul e amarelo devem ser respeitados. </w:t>
      </w:r>
    </w:p>
    <w:p>
      <w:pPr>
        <w:pStyle w:val="Normal"/>
        <w:bidi w:val="0"/>
        <w:spacing w:lineRule="auto" w:line="276" w:before="113" w:after="113"/>
        <w:ind w:left="0" w:right="0" w:firstLine="567"/>
        <w:jc w:val="both"/>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0" w:right="0" w:firstLine="567"/>
        <w:jc w:val="both"/>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0" w:right="0" w:firstLine="567"/>
        <w:jc w:val="both"/>
        <w:rPr/>
      </w:pPr>
      <w:r>
        <w:rPr>
          <w:rFonts w:cs="Arial" w:ascii="Arial" w:hAnsi="Arial"/>
          <w:sz w:val="22"/>
          <w:szCs w:val="22"/>
        </w:rPr>
        <w:t>Os trabalhos de pintura serão terminantemente suspensos em tempos de chuva.</w:t>
      </w:r>
    </w:p>
    <w:p>
      <w:pPr>
        <w:pStyle w:val="Normal"/>
        <w:bidi w:val="0"/>
        <w:spacing w:lineRule="auto" w:line="276" w:before="113" w:after="113"/>
        <w:ind w:left="0" w:right="0" w:firstLine="567"/>
        <w:jc w:val="both"/>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0" w:right="0" w:firstLine="567"/>
        <w:jc w:val="both"/>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0" w:right="0" w:firstLine="567"/>
        <w:jc w:val="both"/>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0" w:right="0" w:firstLine="567"/>
        <w:jc w:val="both"/>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0" w:right="0" w:firstLine="567"/>
        <w:jc w:val="both"/>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0" w:right="0" w:firstLine="567"/>
        <w:jc w:val="both"/>
        <w:rPr/>
      </w:pPr>
      <w:r>
        <w:rPr>
          <w:rFonts w:cs="Arial" w:ascii="Arial" w:hAnsi="Arial"/>
          <w:b/>
          <w:sz w:val="22"/>
          <w:szCs w:val="22"/>
        </w:rPr>
        <w:t>Só serão utilizadas tintas de primeira linha de fabricação.</w:t>
      </w:r>
    </w:p>
    <w:p>
      <w:pPr>
        <w:pStyle w:val="Normal"/>
        <w:bidi w:val="0"/>
        <w:spacing w:lineRule="auto" w:line="276" w:before="113" w:after="113"/>
        <w:ind w:left="0" w:right="0" w:firstLine="567"/>
        <w:jc w:val="both"/>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0" w:right="0" w:firstLine="567"/>
        <w:jc w:val="both"/>
        <w:rPr/>
      </w:pPr>
      <w:r>
        <w:rPr>
          <w:rFonts w:cs="Arial" w:ascii="Arial" w:hAnsi="Arial"/>
          <w:b/>
          <w:sz w:val="22"/>
          <w:szCs w:val="22"/>
        </w:rPr>
        <w:t>PINTURA ACRÍLICA FOSCA PARA PAREDES INTERNAS/EXTERNAS – 02 DEMÃOS</w:t>
      </w:r>
    </w:p>
    <w:p>
      <w:pPr>
        <w:pStyle w:val="Normal"/>
        <w:bidi w:val="0"/>
        <w:spacing w:lineRule="auto" w:line="276" w:before="113" w:after="113"/>
        <w:ind w:left="0" w:right="0" w:firstLine="567"/>
        <w:jc w:val="both"/>
        <w:rPr/>
      </w:pPr>
      <w:r>
        <w:rPr>
          <w:rFonts w:cs="Arial" w:ascii="Arial" w:hAnsi="Arial"/>
          <w:sz w:val="22"/>
          <w:szCs w:val="22"/>
        </w:rPr>
        <w:t>As paredes internas, externas e tetos serão pintadas com tinta acrílica de qualidade, a ser aferida pela fiscalização, em duas demãos.</w:t>
      </w:r>
    </w:p>
    <w:p>
      <w:pPr>
        <w:pStyle w:val="Normal"/>
        <w:bidi w:val="0"/>
        <w:spacing w:lineRule="auto" w:line="276" w:before="113" w:after="113"/>
        <w:ind w:left="0" w:right="0" w:firstLine="567"/>
        <w:jc w:val="both"/>
        <w:rPr/>
      </w:pPr>
      <w:r>
        <w:rPr>
          <w:rFonts w:cs="Arial" w:ascii="Arial" w:hAnsi="Arial"/>
          <w:b/>
          <w:sz w:val="22"/>
          <w:szCs w:val="22"/>
        </w:rPr>
        <w:t>PINTURA ESMALTE SINTÉTICO FOSCO PARA MADEIRAS E METAIS, DUAS DEMÃOS, SOBRE FUNDO NIVELADOR – 02 DEMÃOS</w:t>
      </w:r>
    </w:p>
    <w:p>
      <w:pPr>
        <w:pStyle w:val="Normal"/>
        <w:bidi w:val="0"/>
        <w:spacing w:lineRule="auto" w:line="276" w:before="113" w:after="113"/>
        <w:ind w:left="0" w:right="0" w:firstLine="567"/>
        <w:jc w:val="both"/>
        <w:rPr/>
      </w:pPr>
      <w:r>
        <w:rPr>
          <w:rFonts w:cs="Arial" w:ascii="Arial" w:hAnsi="Arial"/>
          <w:sz w:val="22"/>
          <w:szCs w:val="22"/>
        </w:rPr>
        <w:t>Após o emassamento, as peças serão lixadas, para, posteriormente, receber fundo preparatório, e acabamento com tinta esmalte sintético acetinado de qualidade, em duas demãos, cor e tonalidade a ser definida pela Fiscalização do Contratante.</w:t>
      </w:r>
    </w:p>
    <w:p>
      <w:pPr>
        <w:pStyle w:val="Normal"/>
        <w:bidi w:val="0"/>
        <w:spacing w:lineRule="auto" w:line="276" w:before="113" w:after="113"/>
        <w:ind w:left="0" w:right="0" w:firstLine="567"/>
        <w:jc w:val="both"/>
        <w:rPr/>
      </w:pPr>
      <w:r>
        <w:rPr>
          <w:rFonts w:cs="Arial" w:ascii="Arial" w:hAnsi="Arial"/>
          <w:b/>
          <w:sz w:val="22"/>
          <w:szCs w:val="22"/>
        </w:rPr>
        <w:t>PINTURA DA QUADRA COM REVESTIMENTO MONOLÍTICO ÁLCOOL 4D + 2D VERNIZ POLIURETANO, COLORIDO</w:t>
      </w:r>
    </w:p>
    <w:p>
      <w:pPr>
        <w:pStyle w:val="Corpodetexto"/>
        <w:bidi w:val="0"/>
        <w:spacing w:lineRule="auto" w:line="276" w:before="113" w:after="113"/>
        <w:ind w:left="0" w:right="0" w:firstLine="567"/>
        <w:jc w:val="left"/>
        <w:rPr/>
      </w:pPr>
      <w:r>
        <w:rPr>
          <w:rFonts w:cs="Arial" w:ascii="Arial" w:hAnsi="Arial"/>
          <w:b w:val="false"/>
          <w:bCs w:val="false"/>
          <w:i w:val="false"/>
          <w:caps w:val="false"/>
          <w:smallCaps w:val="false"/>
          <w:color w:val="00000A"/>
          <w:spacing w:val="0"/>
          <w:sz w:val="22"/>
          <w:szCs w:val="22"/>
        </w:rPr>
        <w:t xml:space="preserve">Para a perfeita execução da pintura de piso com tinta a base de álcool, deve-se lixar toda a superfície do piso, removendo as imperfeições do concreto sem danificar o mesmo. </w:t>
      </w:r>
    </w:p>
    <w:p>
      <w:pPr>
        <w:pStyle w:val="Corpodetexto"/>
        <w:bidi w:val="0"/>
        <w:spacing w:lineRule="auto" w:line="276" w:before="113" w:after="113"/>
        <w:ind w:left="0" w:right="0" w:firstLine="567"/>
        <w:jc w:val="left"/>
        <w:rPr/>
      </w:pPr>
      <w:r>
        <w:rPr>
          <w:rFonts w:cs="Arial" w:ascii="Arial" w:hAnsi="Arial"/>
          <w:b w:val="false"/>
          <w:bCs w:val="false"/>
          <w:i w:val="false"/>
          <w:caps w:val="false"/>
          <w:smallCaps w:val="false"/>
          <w:color w:val="00000A"/>
          <w:spacing w:val="0"/>
          <w:sz w:val="22"/>
          <w:szCs w:val="22"/>
        </w:rPr>
        <w:t>O segundo passo é o hidrojateamento para a remoção de resíduos causados pela lixação, deixando o piso pronto para receber o primer.</w:t>
      </w:r>
    </w:p>
    <w:p>
      <w:pPr>
        <w:pStyle w:val="Corpodetexto"/>
        <w:bidi w:val="0"/>
        <w:spacing w:lineRule="auto" w:line="276" w:before="113" w:after="113"/>
        <w:ind w:left="0" w:right="0" w:firstLine="567"/>
        <w:jc w:val="left"/>
        <w:rPr/>
      </w:pPr>
      <w:r>
        <w:rPr>
          <w:rFonts w:cs="Arial" w:ascii="Arial" w:hAnsi="Arial"/>
          <w:b w:val="false"/>
          <w:bCs w:val="false"/>
          <w:i w:val="false"/>
          <w:caps w:val="false"/>
          <w:smallCaps w:val="false"/>
          <w:color w:val="00000A"/>
          <w:spacing w:val="0"/>
          <w:sz w:val="22"/>
          <w:szCs w:val="22"/>
        </w:rPr>
        <w:t>Em seguida, aplica-se a tinta, com uma cura rápida.</w:t>
      </w:r>
    </w:p>
    <w:p>
      <w:pPr>
        <w:pStyle w:val="Normal"/>
        <w:bidi w:val="0"/>
        <w:spacing w:lineRule="auto" w:line="276" w:before="113" w:after="113"/>
        <w:ind w:left="0" w:right="0" w:hanging="0"/>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16 SERVIÇOS FINAIS</w:t>
      </w:r>
    </w:p>
    <w:p>
      <w:pPr>
        <w:pStyle w:val="Normal"/>
        <w:bidi w:val="0"/>
        <w:spacing w:lineRule="auto" w:line="276" w:before="113" w:after="113"/>
        <w:ind w:left="0" w:right="0" w:firstLine="567"/>
        <w:jc w:val="left"/>
        <w:rPr/>
      </w:pPr>
      <w:r>
        <w:rPr>
          <w:rFonts w:cs="Arial" w:ascii="Arial" w:hAnsi="Arial"/>
          <w:sz w:val="22"/>
          <w:szCs w:val="22"/>
        </w:rPr>
        <w:t>LIMPEZA DA OBRA</w:t>
      </w:r>
    </w:p>
    <w:p>
      <w:pPr>
        <w:pStyle w:val="Normal"/>
        <w:bidi w:val="0"/>
        <w:spacing w:lineRule="auto" w:line="276" w:before="113" w:after="113"/>
        <w:ind w:left="0" w:right="0" w:firstLine="567"/>
        <w:jc w:val="both"/>
        <w:rPr/>
      </w:pPr>
      <w:r>
        <w:rPr>
          <w:rFonts w:cs="Arial" w:ascii="Arial" w:hAnsi="Arial"/>
          <w:sz w:val="22"/>
          <w:szCs w:val="22"/>
        </w:rPr>
        <w:t>A remoção e o transporte de todo o entulho e detritos provenientes das demolições serão executados pela CONTRATADA,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0" w:right="0" w:firstLine="567"/>
        <w:jc w:val="both"/>
        <w:rPr/>
      </w:pPr>
      <w:r>
        <w:rPr>
          <w:rFonts w:cs="Arial" w:ascii="Arial" w:hAnsi="Arial"/>
          <w:sz w:val="22"/>
          <w:szCs w:val="22"/>
        </w:rPr>
        <w:t>Os serviços de limpeza geral deverão satisfazer aos seguintes requisitos: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Será removido todo o entulho do terreno, sendo cuidadosamente limpos e varridos os acessos;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Haverá particular cuidado em remover-se quaisquer detritos ou salpicos de argamassa endurecida nas superfícies dos azulejos e de outros materiais;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As superfícies de madeira, quando for o caso, serão lustradas, envernizadas ou enceradas em definitivo;</w:t>
      </w:r>
    </w:p>
    <w:p>
      <w:pPr>
        <w:pStyle w:val="Normal"/>
        <w:bidi w:val="0"/>
        <w:spacing w:lineRule="auto" w:line="276" w:before="113" w:after="113"/>
        <w:ind w:left="0" w:right="0" w:firstLine="567"/>
        <w:jc w:val="both"/>
        <w:rPr/>
      </w:pPr>
      <w:r>
        <w:rPr>
          <w:rFonts w:cs="Arial" w:ascii="Arial" w:hAnsi="Arial"/>
          <w:sz w:val="22"/>
          <w:szCs w:val="22"/>
        </w:rPr>
        <w:t xml:space="preserve">- As pavimentações, destinadas a polimento e lustração, serão polidas em definitivo e lustradas. </w:t>
      </w:r>
    </w:p>
    <w:p>
      <w:pPr>
        <w:pStyle w:val="Normal"/>
        <w:bidi w:val="0"/>
        <w:spacing w:lineRule="auto" w:line="276" w:before="113" w:after="113"/>
        <w:ind w:left="0" w:right="0" w:firstLine="567"/>
        <w:jc w:val="both"/>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276" w:before="113" w:after="113"/>
        <w:ind w:left="0" w:right="0" w:firstLine="567"/>
        <w:jc w:val="both"/>
        <w:rPr/>
      </w:pPr>
      <w:r>
        <w:rPr>
          <w:rFonts w:cs="Arial" w:ascii="Arial" w:hAnsi="Arial"/>
          <w:sz w:val="22"/>
          <w:szCs w:val="22"/>
        </w:rPr>
        <w:t>Na verificação final, serão obedecidas as seguintes normas da ABNT:</w:t>
      </w:r>
    </w:p>
    <w:p>
      <w:pPr>
        <w:pStyle w:val="Normal"/>
        <w:bidi w:val="0"/>
        <w:spacing w:lineRule="auto" w:line="276" w:before="113" w:after="113"/>
        <w:ind w:left="0" w:right="0" w:firstLine="567"/>
        <w:jc w:val="both"/>
        <w:rPr/>
      </w:pPr>
      <w:r>
        <w:rPr>
          <w:rFonts w:cs="Arial" w:ascii="Arial" w:hAnsi="Arial"/>
          <w:sz w:val="22"/>
          <w:szCs w:val="22"/>
        </w:rPr>
        <w:t>NB-829/75 - Recebimento de Instalações Prediais de Água Fria (NBR 5651).</w:t>
      </w:r>
    </w:p>
    <w:p>
      <w:pPr>
        <w:pStyle w:val="Normal"/>
        <w:bidi w:val="0"/>
        <w:spacing w:lineRule="auto" w:line="276" w:before="113" w:after="113"/>
        <w:ind w:left="0" w:right="0" w:firstLine="567"/>
        <w:jc w:val="both"/>
        <w:rPr/>
      </w:pPr>
      <w:r>
        <w:rPr>
          <w:rFonts w:cs="Arial" w:ascii="Arial" w:hAnsi="Arial"/>
          <w:sz w:val="22"/>
          <w:szCs w:val="22"/>
        </w:rPr>
        <w:t>NB-19/83 - Instalações Prediais de Esgotos Sanitários (NBR 8160), Inspeções e Ensaios.</w:t>
      </w:r>
    </w:p>
    <w:p>
      <w:pPr>
        <w:pStyle w:val="Normal"/>
        <w:bidi w:val="0"/>
        <w:spacing w:lineRule="auto" w:line="276" w:before="113" w:after="113"/>
        <w:ind w:left="0" w:right="0" w:firstLine="567"/>
        <w:jc w:val="both"/>
        <w:rPr/>
      </w:pPr>
      <w:r>
        <w:rPr>
          <w:rFonts w:cs="Arial" w:ascii="Arial" w:hAnsi="Arial"/>
          <w:sz w:val="22"/>
          <w:szCs w:val="22"/>
        </w:rPr>
        <w:t>NB-597/77 - Recebimento de Serviços de Obras de Engenharia e Arquitetura (NBR 5675).</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center"/>
        <w:rPr/>
      </w:pPr>
      <w:r>
        <w:rPr>
          <w:rFonts w:cs="Arial" w:ascii="Arial" w:hAnsi="Arial"/>
          <w:b/>
          <w:sz w:val="22"/>
          <w:szCs w:val="22"/>
        </w:rPr>
        <w:t>Eng.ª Virginia Victória Crema Mongelos</w:t>
      </w:r>
    </w:p>
    <w:p>
      <w:pPr>
        <w:pStyle w:val="Normal"/>
        <w:bidi w:val="0"/>
        <w:spacing w:lineRule="auto" w:line="276" w:before="113" w:after="113"/>
        <w:ind w:left="0" w:right="0" w:firstLine="567"/>
        <w:jc w:val="center"/>
        <w:rPr/>
      </w:pPr>
      <w:r>
        <w:rPr>
          <w:rFonts w:cs="Arial" w:ascii="Arial" w:hAnsi="Arial"/>
          <w:sz w:val="18"/>
          <w:szCs w:val="18"/>
        </w:rPr>
        <w:t>Matrícula: 2.154.403</w:t>
      </w:r>
    </w:p>
    <w:sectPr>
      <w:headerReference w:type="default" r:id="rId6"/>
      <w:footerReference w:type="default" r:id="rId7"/>
      <w:type w:val="nextPage"/>
      <w:pgSz w:w="11906" w:h="16838"/>
      <w:pgMar w:left="1701" w:right="1134" w:header="851" w:top="1668" w:footer="198" w:bottom="1179" w:gutter="0"/>
      <w:pgNumType w:fmt="decimal"/>
      <w:formProt w:val="false"/>
      <w:textDirection w:val="lrTb"/>
      <w:docGrid w:type="default" w:linePitch="249"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mc:AlternateContent>
        <mc:Choice Requires="wps">
          <w:drawing>
            <wp:anchor behindDoc="1" distT="0" distB="0" distL="114300" distR="114300" simplePos="0" locked="0" layoutInCell="1" allowOverlap="1" relativeHeight="61">
              <wp:simplePos x="0" y="0"/>
              <wp:positionH relativeFrom="column">
                <wp:posOffset>27305</wp:posOffset>
              </wp:positionH>
              <wp:positionV relativeFrom="margin">
                <wp:posOffset>8340725</wp:posOffset>
              </wp:positionV>
              <wp:extent cx="583565" cy="337185"/>
              <wp:effectExtent l="0" t="0" r="0" b="0"/>
              <wp:wrapNone/>
              <wp:docPr id="6" name="Figura1"/>
              <a:graphic xmlns:a="http://schemas.openxmlformats.org/drawingml/2006/main">
                <a:graphicData uri="http://schemas.microsoft.com/office/word/2010/wordprocessingShape">
                  <wps:wsp>
                    <wps:cNvSpPr/>
                    <wps:spPr>
                      <a:xfrm>
                        <a:off x="0" y="0"/>
                        <a:ext cx="582840" cy="33660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85pt;height:26.45pt;mso-position-vertical-relative:margin">
              <w10:wrap type="none"/>
              <v:fill o:detectmouseclick="t" type="solid" color2="black"/>
              <v:stroke color="#3465a4" joinstyle="round" endcap="flat"/>
            </v:rect>
          </w:pict>
        </mc:Fallback>
      </mc:AlternateContent>
    </w:r>
    <w:r>
      <w:rPr/>
      <w:t>Secretaria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31">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749" y="0"/>
              <wp:lineTo x="-749" y="20070"/>
              <wp:lineTo x="21568" y="20070"/>
              <wp:lineTo x="21568" y="0"/>
              <wp:lineTo x="-749" y="0"/>
            </wp:wrapPolygon>
          </wp:wrapTight>
          <wp:docPr id="5"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tabs>
          <w:tab w:val="num" w:pos="720"/>
        </w:tabs>
        <w:ind w:left="720" w:hanging="360"/>
      </w:pPr>
      <w:rPr>
        <w:rFonts w:ascii="Symbol" w:hAnsi="Symbol" w:cs="Symbol" w:hint="default"/>
        <w:sz w:val="22"/>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embedSystemFonts/>
  <w:defaultTabStop w:val="4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kern w:val="0"/>
      <w:sz w:val="20"/>
      <w:szCs w:val="20"/>
      <w:lang w:val="pt-BR" w:eastAsia="pt-BR" w:bidi="ar-SA"/>
    </w:rPr>
  </w:style>
  <w:style w:type="paragraph" w:styleId="Ttulo1">
    <w:name w:val="Heading 1"/>
    <w:basedOn w:val="Normal"/>
    <w:next w:val="Normal"/>
    <w:link w:val="Ttulo1Char"/>
    <w:uiPriority w:val="9"/>
    <w:qFormat/>
    <w:rsid w:val="00326bca"/>
    <w:pPr>
      <w:keepNext w:val="true"/>
      <w:spacing w:before="240" w:after="60"/>
      <w:outlineLvl w:val="0"/>
    </w:pPr>
    <w:rPr>
      <w:rFonts w:ascii="Arial" w:hAnsi="Arial"/>
      <w:b/>
      <w:color w:val="000000"/>
      <w:sz w:val="28"/>
    </w:rPr>
  </w:style>
  <w:style w:type="paragraph" w:styleId="Ttulo2">
    <w:name w:val="Heading 2"/>
    <w:basedOn w:val="Normal"/>
    <w:next w:val="Normal"/>
    <w:qFormat/>
    <w:rsid w:val="00326bca"/>
    <w:pPr>
      <w:keepNext w:val="true"/>
      <w:spacing w:before="240" w:after="60"/>
      <w:outlineLvl w:val="1"/>
    </w:pPr>
    <w:rPr>
      <w:rFonts w:ascii="Arial" w:hAnsi="Arial"/>
      <w:b/>
      <w:i/>
      <w:color w:val="000000"/>
      <w:sz w:val="24"/>
    </w:rPr>
  </w:style>
  <w:style w:type="paragraph" w:styleId="Ttulo3">
    <w:name w:val="Heading 3"/>
    <w:basedOn w:val="Normal"/>
    <w:next w:val="Normal"/>
    <w:qFormat/>
    <w:rsid w:val="00326bca"/>
    <w:pPr>
      <w:keepNext w:val="true"/>
      <w:spacing w:before="240" w:after="60"/>
      <w:outlineLvl w:val="2"/>
    </w:pPr>
    <w:rPr>
      <w:rFonts w:ascii="Arial" w:hAnsi="Arial"/>
      <w:color w:val="000000"/>
      <w:sz w:val="24"/>
    </w:rPr>
  </w:style>
  <w:style w:type="paragraph" w:styleId="Ttulo4">
    <w:name w:val="Heading 4"/>
    <w:basedOn w:val="Normal"/>
    <w:next w:val="Normal"/>
    <w:qFormat/>
    <w:rsid w:val="00326bca"/>
    <w:pPr>
      <w:keepNext w:val="true"/>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val="true"/>
      <w:jc w:val="right"/>
      <w:outlineLvl w:val="6"/>
    </w:pPr>
    <w:rPr>
      <w:b/>
      <w:sz w:val="24"/>
    </w:rPr>
  </w:style>
  <w:style w:type="paragraph" w:styleId="Ttulo8">
    <w:name w:val="Heading 8"/>
    <w:basedOn w:val="Normal"/>
    <w:next w:val="Normal"/>
    <w:qFormat/>
    <w:rsid w:val="00326bca"/>
    <w:pPr>
      <w:keepNext w:val="true"/>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character" w:styleId="ListLabel138">
    <w:name w:val="ListLabel 138"/>
    <w:qFormat/>
    <w:rPr>
      <w:rFonts w:cs="Symbol"/>
      <w:sz w:val="22"/>
    </w:rPr>
  </w:style>
  <w:style w:type="character" w:styleId="ListLabel139">
    <w:name w:val="ListLabel 139"/>
    <w:qFormat/>
    <w:rPr>
      <w:rFonts w:cs="Symbol"/>
      <w:sz w:val="22"/>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sz w:val="22"/>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Arial" w:hAnsi="Arial" w:cs="OpenSymbol"/>
      <w:sz w:val="22"/>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Symbol"/>
      <w:color w:val="000000"/>
    </w:rPr>
  </w:style>
  <w:style w:type="character" w:styleId="ListLabel167">
    <w:name w:val="ListLabel 167"/>
    <w:qFormat/>
    <w:rPr>
      <w:rFonts w:cs="Courier New"/>
      <w:sz w:val="24"/>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Arial" w:hAnsi="Arial" w:cs="Symbol"/>
      <w:sz w:val="22"/>
    </w:rPr>
  </w:style>
  <w:style w:type="character" w:styleId="ListLabel177">
    <w:name w:val="ListLabel 177"/>
    <w:qFormat/>
    <w:rPr>
      <w:rFonts w:cs="Wingdings"/>
    </w:rPr>
  </w:style>
  <w:style w:type="character" w:styleId="ListLabel178">
    <w:name w:val="ListLabel 178"/>
    <w:qFormat/>
    <w:rPr>
      <w:rFonts w:cs="Wingdings"/>
    </w:rPr>
  </w:style>
  <w:style w:type="character" w:styleId="ListLabel179">
    <w:name w:val="ListLabel 179"/>
    <w:qFormat/>
    <w:rPr>
      <w:rFonts w:cs="Wingdings"/>
    </w:rPr>
  </w:style>
  <w:style w:type="character" w:styleId="ListLabel180">
    <w:name w:val="ListLabel 180"/>
    <w:qFormat/>
    <w:rPr>
      <w:rFonts w:cs="Wingdings"/>
    </w:rPr>
  </w:style>
  <w:style w:type="character" w:styleId="ListLabel181">
    <w:name w:val="ListLabel 181"/>
    <w:qFormat/>
    <w:rPr>
      <w:rFonts w:cs="Wingdings"/>
    </w:rPr>
  </w:style>
  <w:style w:type="character" w:styleId="ListLabel182">
    <w:name w:val="ListLabel 182"/>
    <w:qFormat/>
    <w:rPr>
      <w:rFonts w:cs="Wingdings"/>
    </w:rPr>
  </w:style>
  <w:style w:type="character" w:styleId="ListLabel183">
    <w:name w:val="ListLabel 183"/>
    <w:qFormat/>
    <w:rPr>
      <w:rFonts w:cs="Wingdings"/>
    </w:rPr>
  </w:style>
  <w:style w:type="character" w:styleId="ListLabel184">
    <w:name w:val="ListLabel 184"/>
    <w:qFormat/>
    <w:rPr>
      <w:rFonts w:cs="Wingdings"/>
    </w:rPr>
  </w:style>
  <w:style w:type="character" w:styleId="ListLabel185">
    <w:name w:val="ListLabel 185"/>
    <w:qFormat/>
    <w:rPr>
      <w:rFonts w:cs="Symbol"/>
      <w:sz w:val="22"/>
    </w:rPr>
  </w:style>
  <w:style w:type="character" w:styleId="ListLabel186">
    <w:name w:val="ListLabel 186"/>
    <w:qFormat/>
    <w:rPr>
      <w:rFonts w:cs="Symbol"/>
      <w:sz w:val="22"/>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sz w:val="22"/>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OpenSymbol"/>
      <w:sz w:val="22"/>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Arial" w:hAnsi="Arial" w:cs="Symbol"/>
      <w:sz w:val="22"/>
    </w:rPr>
  </w:style>
  <w:style w:type="character" w:styleId="ListLabel214">
    <w:name w:val="ListLabel 214"/>
    <w:qFormat/>
    <w:rPr>
      <w:rFonts w:cs="Wingdings"/>
    </w:rPr>
  </w:style>
  <w:style w:type="character" w:styleId="ListLabel215">
    <w:name w:val="ListLabel 215"/>
    <w:qFormat/>
    <w:rPr>
      <w:rFonts w:cs="Wingdings"/>
    </w:rPr>
  </w:style>
  <w:style w:type="character" w:styleId="ListLabel216">
    <w:name w:val="ListLabel 216"/>
    <w:qFormat/>
    <w:rPr>
      <w:rFonts w:cs="Wingdings"/>
    </w:rPr>
  </w:style>
  <w:style w:type="character" w:styleId="ListLabel217">
    <w:name w:val="ListLabel 217"/>
    <w:qFormat/>
    <w:rPr>
      <w:rFonts w:cs="Wingdings"/>
    </w:rPr>
  </w:style>
  <w:style w:type="character" w:styleId="ListLabel218">
    <w:name w:val="ListLabel 218"/>
    <w:qFormat/>
    <w:rPr>
      <w:rFonts w:cs="Wingdings"/>
    </w:rPr>
  </w:style>
  <w:style w:type="character" w:styleId="ListLabel219">
    <w:name w:val="ListLabel 219"/>
    <w:qFormat/>
    <w:rPr>
      <w:rFonts w:cs="Wingdings"/>
    </w:rPr>
  </w:style>
  <w:style w:type="character" w:styleId="ListLabel220">
    <w:name w:val="ListLabel 220"/>
    <w:qFormat/>
    <w:rPr>
      <w:rFonts w:cs="Wingdings"/>
    </w:rPr>
  </w:style>
  <w:style w:type="character" w:styleId="ListLabel221">
    <w:name w:val="ListLabel 221"/>
    <w:qFormat/>
    <w:rPr>
      <w:rFonts w:cs="Wingdings"/>
    </w:rPr>
  </w:style>
  <w:style w:type="character" w:styleId="ListLabel222">
    <w:name w:val="ListLabel 222"/>
    <w:qFormat/>
    <w:rPr>
      <w:rFonts w:cs="Symbol"/>
      <w:sz w:val="22"/>
    </w:rPr>
  </w:style>
  <w:style w:type="character" w:styleId="ListLabel223">
    <w:name w:val="ListLabel 223"/>
    <w:qFormat/>
    <w:rPr>
      <w:rFonts w:cs="Symbol"/>
      <w:sz w:val="22"/>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cs="Symbol"/>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cs="Symbol"/>
      <w:sz w:val="22"/>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ascii="Arial" w:hAnsi="Arial" w:cs="OpenSymbol"/>
      <w:sz w:val="22"/>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ascii="Arial" w:hAnsi="Arial" w:cs="Symbol"/>
      <w:sz w:val="22"/>
    </w:rPr>
  </w:style>
  <w:style w:type="character" w:styleId="ListLabel251">
    <w:name w:val="ListLabel 251"/>
    <w:qFormat/>
    <w:rPr>
      <w:rFonts w:cs="Wingdings"/>
    </w:rPr>
  </w:style>
  <w:style w:type="character" w:styleId="ListLabel252">
    <w:name w:val="ListLabel 252"/>
    <w:qFormat/>
    <w:rPr>
      <w:rFonts w:cs="Wingdings"/>
    </w:rPr>
  </w:style>
  <w:style w:type="character" w:styleId="ListLabel253">
    <w:name w:val="ListLabel 253"/>
    <w:qFormat/>
    <w:rPr>
      <w:rFonts w:cs="Wingdings"/>
    </w:rPr>
  </w:style>
  <w:style w:type="character" w:styleId="ListLabel254">
    <w:name w:val="ListLabel 254"/>
    <w:qFormat/>
    <w:rPr>
      <w:rFonts w:cs="Wingdings"/>
    </w:rPr>
  </w:style>
  <w:style w:type="character" w:styleId="ListLabel255">
    <w:name w:val="ListLabel 255"/>
    <w:qFormat/>
    <w:rPr>
      <w:rFonts w:cs="Wingdings"/>
    </w:rPr>
  </w:style>
  <w:style w:type="character" w:styleId="ListLabel256">
    <w:name w:val="ListLabel 256"/>
    <w:qFormat/>
    <w:rPr>
      <w:rFonts w:cs="Wingdings"/>
    </w:rPr>
  </w:style>
  <w:style w:type="character" w:styleId="ListLabel257">
    <w:name w:val="ListLabel 257"/>
    <w:qFormat/>
    <w:rPr>
      <w:rFonts w:cs="Wingdings"/>
    </w:rPr>
  </w:style>
  <w:style w:type="character" w:styleId="ListLabel258">
    <w:name w:val="ListLabel 258"/>
    <w:qFormat/>
    <w:rPr>
      <w:rFonts w:cs="Wingdings"/>
    </w:rPr>
  </w:style>
  <w:style w:type="character" w:styleId="ListLabel259">
    <w:name w:val="ListLabel 259"/>
    <w:qFormat/>
    <w:rPr>
      <w:rFonts w:cs="Symbol"/>
      <w:sz w:val="22"/>
    </w:rPr>
  </w:style>
  <w:style w:type="character" w:styleId="ListLabel260">
    <w:name w:val="ListLabel 260"/>
    <w:qFormat/>
    <w:rPr>
      <w:rFonts w:cs="Symbol"/>
      <w:sz w:val="22"/>
    </w:rPr>
  </w:style>
  <w:style w:type="character" w:styleId="ListLabel261">
    <w:name w:val="ListLabel 261"/>
    <w:qFormat/>
    <w:rPr>
      <w:rFonts w:cs="Courier New"/>
    </w:rPr>
  </w:style>
  <w:style w:type="character" w:styleId="ListLabel262">
    <w:name w:val="ListLabel 262"/>
    <w:qFormat/>
    <w:rPr>
      <w:rFonts w:cs="Wingdings"/>
    </w:rPr>
  </w:style>
  <w:style w:type="character" w:styleId="ListLabel263">
    <w:name w:val="ListLabel 263"/>
    <w:qFormat/>
    <w:rPr>
      <w:rFonts w:cs="Symbol"/>
    </w:rPr>
  </w:style>
  <w:style w:type="character" w:styleId="ListLabel264">
    <w:name w:val="ListLabel 264"/>
    <w:qFormat/>
    <w:rPr>
      <w:rFonts w:cs="Courier New"/>
    </w:rPr>
  </w:style>
  <w:style w:type="character" w:styleId="ListLabel265">
    <w:name w:val="ListLabel 265"/>
    <w:qFormat/>
    <w:rPr>
      <w:rFonts w:cs="Wingdings"/>
    </w:rPr>
  </w:style>
  <w:style w:type="character" w:styleId="ListLabel266">
    <w:name w:val="ListLabel 266"/>
    <w:qFormat/>
    <w:rPr>
      <w:rFonts w:cs="Symbol"/>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ascii="Arial" w:hAnsi="Arial" w:cs="OpenSymbol"/>
      <w:sz w:val="22"/>
    </w:rPr>
  </w:style>
  <w:style w:type="character" w:styleId="ListLabel270">
    <w:name w:val="ListLabel 270"/>
    <w:qFormat/>
    <w:rPr>
      <w:rFonts w:cs="OpenSymbol"/>
    </w:rPr>
  </w:style>
  <w:style w:type="character" w:styleId="ListLabel271">
    <w:name w:val="ListLabel 271"/>
    <w:qFormat/>
    <w:rPr>
      <w:rFonts w:cs="OpenSymbol"/>
    </w:rPr>
  </w:style>
  <w:style w:type="character" w:styleId="ListLabel272">
    <w:name w:val="ListLabel 272"/>
    <w:qFormat/>
    <w:rPr>
      <w:rFonts w:cs="OpenSymbol"/>
    </w:rPr>
  </w:style>
  <w:style w:type="character" w:styleId="ListLabel273">
    <w:name w:val="ListLabel 273"/>
    <w:qFormat/>
    <w:rPr>
      <w:rFonts w:cs="OpenSymbol"/>
    </w:rPr>
  </w:style>
  <w:style w:type="character" w:styleId="ListLabel274">
    <w:name w:val="ListLabel 274"/>
    <w:qFormat/>
    <w:rPr>
      <w:rFonts w:cs="OpenSymbol"/>
    </w:rPr>
  </w:style>
  <w:style w:type="character" w:styleId="ListLabel275">
    <w:name w:val="ListLabel 275"/>
    <w:qFormat/>
    <w:rPr>
      <w:rFonts w:cs="OpenSymbol"/>
    </w:rPr>
  </w:style>
  <w:style w:type="character" w:styleId="ListLabel276">
    <w:name w:val="ListLabel 276"/>
    <w:qFormat/>
    <w:rPr>
      <w:rFonts w:cs="OpenSymbol"/>
    </w:rPr>
  </w:style>
  <w:style w:type="character" w:styleId="ListLabel277">
    <w:name w:val="ListLabel 277"/>
    <w:qFormat/>
    <w:rPr>
      <w:rFonts w:cs="OpenSymbol"/>
    </w:rPr>
  </w:style>
  <w:style w:type="character" w:styleId="ListLabel278">
    <w:name w:val="ListLabel 278"/>
    <w:qFormat/>
    <w:rPr>
      <w:rFonts w:cs="Symbol"/>
      <w:sz w:val="22"/>
    </w:rPr>
  </w:style>
  <w:style w:type="character" w:styleId="ListLabel279">
    <w:name w:val="ListLabel 279"/>
    <w:qFormat/>
    <w:rPr>
      <w:rFonts w:cs="Symbol"/>
      <w:sz w:val="22"/>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cs="Symbol"/>
    </w:rPr>
  </w:style>
  <w:style w:type="character" w:styleId="ListLabel286">
    <w:name w:val="ListLabel 286"/>
    <w:qFormat/>
    <w:rPr>
      <w:rFonts w:cs="Courier New"/>
    </w:rPr>
  </w:style>
  <w:style w:type="character" w:styleId="ListLabel287">
    <w:name w:val="ListLabel 287"/>
    <w:qFormat/>
    <w:rPr>
      <w:rFonts w:cs="Wingdings"/>
    </w:rPr>
  </w:style>
  <w:style w:type="character" w:styleId="ListLabel288">
    <w:name w:val="ListLabel 288"/>
    <w:qFormat/>
    <w:rPr>
      <w:rFonts w:ascii="Arial" w:hAnsi="Arial" w:cs="OpenSymbol"/>
      <w:sz w:val="22"/>
    </w:rPr>
  </w:style>
  <w:style w:type="character" w:styleId="ListLabel289">
    <w:name w:val="ListLabel 289"/>
    <w:qFormat/>
    <w:rPr>
      <w:rFonts w:cs="OpenSymbol"/>
    </w:rPr>
  </w:style>
  <w:style w:type="character" w:styleId="ListLabel290">
    <w:name w:val="ListLabel 290"/>
    <w:qFormat/>
    <w:rPr>
      <w:rFonts w:cs="OpenSymbol"/>
    </w:rPr>
  </w:style>
  <w:style w:type="character" w:styleId="ListLabel291">
    <w:name w:val="ListLabel 291"/>
    <w:qFormat/>
    <w:rPr>
      <w:rFonts w:cs="OpenSymbol"/>
    </w:rPr>
  </w:style>
  <w:style w:type="character" w:styleId="ListLabel292">
    <w:name w:val="ListLabel 292"/>
    <w:qFormat/>
    <w:rPr>
      <w:rFonts w:cs="OpenSymbol"/>
    </w:rPr>
  </w:style>
  <w:style w:type="character" w:styleId="ListLabel293">
    <w:name w:val="ListLabel 293"/>
    <w:qFormat/>
    <w:rPr>
      <w:rFonts w:cs="OpenSymbol"/>
    </w:rPr>
  </w:style>
  <w:style w:type="character" w:styleId="ListLabel294">
    <w:name w:val="ListLabel 294"/>
    <w:qFormat/>
    <w:rPr>
      <w:rFonts w:cs="OpenSymbol"/>
    </w:rPr>
  </w:style>
  <w:style w:type="character" w:styleId="ListLabel295">
    <w:name w:val="ListLabel 295"/>
    <w:qFormat/>
    <w:rPr>
      <w:rFonts w:cs="OpenSymbol"/>
    </w:rPr>
  </w:style>
  <w:style w:type="character" w:styleId="ListLabel296">
    <w:name w:val="ListLabel 296"/>
    <w:qFormat/>
    <w:rPr>
      <w:rFonts w:cs="OpenSymbol"/>
    </w:rPr>
  </w:style>
  <w:style w:type="character" w:styleId="ListLabel297">
    <w:name w:val="ListLabel 297"/>
    <w:qFormat/>
    <w:rPr>
      <w:rFonts w:cs="Symbol"/>
      <w:sz w:val="22"/>
    </w:rPr>
  </w:style>
  <w:style w:type="character" w:styleId="ListLabel298">
    <w:name w:val="ListLabel 298"/>
    <w:qFormat/>
    <w:rPr>
      <w:rFonts w:cs="Symbol"/>
      <w:sz w:val="22"/>
    </w:rPr>
  </w:style>
  <w:style w:type="character" w:styleId="ListLabel299">
    <w:name w:val="ListLabel 299"/>
    <w:qFormat/>
    <w:rPr>
      <w:rFonts w:cs="Courier New"/>
    </w:rPr>
  </w:style>
  <w:style w:type="character" w:styleId="ListLabel300">
    <w:name w:val="ListLabel 300"/>
    <w:qFormat/>
    <w:rPr>
      <w:rFonts w:cs="Wingdings"/>
    </w:rPr>
  </w:style>
  <w:style w:type="character" w:styleId="ListLabel301">
    <w:name w:val="ListLabel 301"/>
    <w:qFormat/>
    <w:rPr>
      <w:rFonts w:cs="Symbol"/>
    </w:rPr>
  </w:style>
  <w:style w:type="character" w:styleId="ListLabel302">
    <w:name w:val="ListLabel 302"/>
    <w:qFormat/>
    <w:rPr>
      <w:rFonts w:cs="Courier New"/>
    </w:rPr>
  </w:style>
  <w:style w:type="character" w:styleId="ListLabel303">
    <w:name w:val="ListLabel 303"/>
    <w:qFormat/>
    <w:rPr>
      <w:rFonts w:cs="Wingdings"/>
    </w:rPr>
  </w:style>
  <w:style w:type="character" w:styleId="ListLabel304">
    <w:name w:val="ListLabel 304"/>
    <w:qFormat/>
    <w:rPr>
      <w:rFonts w:cs="Symbol"/>
    </w:rPr>
  </w:style>
  <w:style w:type="character" w:styleId="ListLabel305">
    <w:name w:val="ListLabel 305"/>
    <w:qFormat/>
    <w:rPr>
      <w:rFonts w:cs="Courier New"/>
    </w:rPr>
  </w:style>
  <w:style w:type="character" w:styleId="ListLabel306">
    <w:name w:val="ListLabel 306"/>
    <w:qFormat/>
    <w:rPr>
      <w:rFonts w:cs="Wingdings"/>
    </w:rPr>
  </w:style>
  <w:style w:type="character" w:styleId="ListLabel307">
    <w:name w:val="ListLabel 307"/>
    <w:qFormat/>
    <w:rPr>
      <w:rFonts w:ascii="Arial" w:hAnsi="Arial" w:cs="OpenSymbol"/>
      <w:sz w:val="22"/>
    </w:rPr>
  </w:style>
  <w:style w:type="character" w:styleId="ListLabel308">
    <w:name w:val="ListLabel 308"/>
    <w:qFormat/>
    <w:rPr>
      <w:rFonts w:cs="OpenSymbol"/>
    </w:rPr>
  </w:style>
  <w:style w:type="character" w:styleId="ListLabel309">
    <w:name w:val="ListLabel 309"/>
    <w:qFormat/>
    <w:rPr>
      <w:rFonts w:cs="OpenSymbol"/>
    </w:rPr>
  </w:style>
  <w:style w:type="character" w:styleId="ListLabel310">
    <w:name w:val="ListLabel 310"/>
    <w:qFormat/>
    <w:rPr>
      <w:rFonts w:cs="OpenSymbol"/>
    </w:rPr>
  </w:style>
  <w:style w:type="character" w:styleId="ListLabel311">
    <w:name w:val="ListLabel 311"/>
    <w:qFormat/>
    <w:rPr>
      <w:rFonts w:cs="OpenSymbol"/>
    </w:rPr>
  </w:style>
  <w:style w:type="character" w:styleId="ListLabel312">
    <w:name w:val="ListLabel 312"/>
    <w:qFormat/>
    <w:rPr>
      <w:rFonts w:cs="OpenSymbol"/>
    </w:rPr>
  </w:style>
  <w:style w:type="character" w:styleId="ListLabel313">
    <w:name w:val="ListLabel 313"/>
    <w:qFormat/>
    <w:rPr>
      <w:rFonts w:cs="OpenSymbol"/>
    </w:rPr>
  </w:style>
  <w:style w:type="character" w:styleId="ListLabel314">
    <w:name w:val="ListLabel 314"/>
    <w:qFormat/>
    <w:rPr>
      <w:rFonts w:cs="OpenSymbol"/>
    </w:rPr>
  </w:style>
  <w:style w:type="character" w:styleId="ListLabel315">
    <w:name w:val="ListLabel 315"/>
    <w:qFormat/>
    <w:rPr>
      <w:rFonts w:cs="OpenSymbol"/>
    </w:rPr>
  </w:style>
  <w:style w:type="character" w:styleId="ListLabel316">
    <w:name w:val="ListLabel 316"/>
    <w:qFormat/>
    <w:rPr>
      <w:rFonts w:cs="Symbol"/>
      <w:sz w:val="22"/>
    </w:rPr>
  </w:style>
  <w:style w:type="character" w:styleId="ListLabel317">
    <w:name w:val="ListLabel 317"/>
    <w:qFormat/>
    <w:rPr>
      <w:rFonts w:cs="Symbol"/>
      <w:sz w:val="22"/>
    </w:rPr>
  </w:style>
  <w:style w:type="character" w:styleId="ListLabel318">
    <w:name w:val="ListLabel 318"/>
    <w:qFormat/>
    <w:rPr>
      <w:rFonts w:cs="Courier New"/>
    </w:rPr>
  </w:style>
  <w:style w:type="character" w:styleId="ListLabel319">
    <w:name w:val="ListLabel 319"/>
    <w:qFormat/>
    <w:rPr>
      <w:rFonts w:cs="Wingdings"/>
    </w:rPr>
  </w:style>
  <w:style w:type="character" w:styleId="ListLabel320">
    <w:name w:val="ListLabel 320"/>
    <w:qFormat/>
    <w:rPr>
      <w:rFonts w:cs="Symbol"/>
    </w:rPr>
  </w:style>
  <w:style w:type="character" w:styleId="ListLabel321">
    <w:name w:val="ListLabel 321"/>
    <w:qFormat/>
    <w:rPr>
      <w:rFonts w:cs="Courier New"/>
    </w:rPr>
  </w:style>
  <w:style w:type="character" w:styleId="ListLabel322">
    <w:name w:val="ListLabel 322"/>
    <w:qFormat/>
    <w:rPr>
      <w:rFonts w:cs="Wingdings"/>
    </w:rPr>
  </w:style>
  <w:style w:type="character" w:styleId="ListLabel323">
    <w:name w:val="ListLabel 323"/>
    <w:qFormat/>
    <w:rPr>
      <w:rFonts w:cs="Symbol"/>
    </w:rPr>
  </w:style>
  <w:style w:type="character" w:styleId="ListLabel324">
    <w:name w:val="ListLabel 324"/>
    <w:qFormat/>
    <w:rPr>
      <w:rFonts w:cs="Courier New"/>
    </w:rPr>
  </w:style>
  <w:style w:type="character" w:styleId="ListLabel325">
    <w:name w:val="ListLabel 325"/>
    <w:qFormat/>
    <w:rPr>
      <w:rFonts w:cs="Wingdings"/>
    </w:rPr>
  </w:style>
  <w:style w:type="character" w:styleId="ListLabel326">
    <w:name w:val="ListLabel 326"/>
    <w:qFormat/>
    <w:rPr>
      <w:rFonts w:ascii="Arial" w:hAnsi="Arial" w:cs="OpenSymbol"/>
      <w:sz w:val="22"/>
    </w:rPr>
  </w:style>
  <w:style w:type="character" w:styleId="ListLabel327">
    <w:name w:val="ListLabel 327"/>
    <w:qFormat/>
    <w:rPr>
      <w:rFonts w:cs="OpenSymbol"/>
    </w:rPr>
  </w:style>
  <w:style w:type="character" w:styleId="ListLabel328">
    <w:name w:val="ListLabel 328"/>
    <w:qFormat/>
    <w:rPr>
      <w:rFonts w:cs="OpenSymbol"/>
    </w:rPr>
  </w:style>
  <w:style w:type="character" w:styleId="ListLabel329">
    <w:name w:val="ListLabel 329"/>
    <w:qFormat/>
    <w:rPr>
      <w:rFonts w:cs="OpenSymbol"/>
    </w:rPr>
  </w:style>
  <w:style w:type="character" w:styleId="ListLabel330">
    <w:name w:val="ListLabel 330"/>
    <w:qFormat/>
    <w:rPr>
      <w:rFonts w:cs="OpenSymbol"/>
    </w:rPr>
  </w:style>
  <w:style w:type="character" w:styleId="ListLabel331">
    <w:name w:val="ListLabel 331"/>
    <w:qFormat/>
    <w:rPr>
      <w:rFonts w:cs="OpenSymbol"/>
    </w:rPr>
  </w:style>
  <w:style w:type="character" w:styleId="ListLabel332">
    <w:name w:val="ListLabel 332"/>
    <w:qFormat/>
    <w:rPr>
      <w:rFonts w:cs="OpenSymbol"/>
    </w:rPr>
  </w:style>
  <w:style w:type="character" w:styleId="ListLabel333">
    <w:name w:val="ListLabel 333"/>
    <w:qFormat/>
    <w:rPr>
      <w:rFonts w:cs="OpenSymbol"/>
    </w:rPr>
  </w:style>
  <w:style w:type="character" w:styleId="ListLabel334">
    <w:name w:val="ListLabel 334"/>
    <w:qFormat/>
    <w:rPr>
      <w:rFonts w:cs="OpenSymbol"/>
    </w:rPr>
  </w:style>
  <w:style w:type="character" w:styleId="ListLabel335">
    <w:name w:val="ListLabel 335"/>
    <w:qFormat/>
    <w:rPr>
      <w:rFonts w:cs="Symbol"/>
      <w:sz w:val="22"/>
    </w:rPr>
  </w:style>
  <w:style w:type="character" w:styleId="ListLabel336">
    <w:name w:val="ListLabel 336"/>
    <w:qFormat/>
    <w:rPr>
      <w:rFonts w:cs="Symbol"/>
      <w:sz w:val="22"/>
    </w:rPr>
  </w:style>
  <w:style w:type="character" w:styleId="ListLabel337">
    <w:name w:val="ListLabel 337"/>
    <w:qFormat/>
    <w:rPr>
      <w:rFonts w:cs="Courier New"/>
    </w:rPr>
  </w:style>
  <w:style w:type="character" w:styleId="ListLabel338">
    <w:name w:val="ListLabel 338"/>
    <w:qFormat/>
    <w:rPr>
      <w:rFonts w:cs="Wingdings"/>
    </w:rPr>
  </w:style>
  <w:style w:type="character" w:styleId="ListLabel339">
    <w:name w:val="ListLabel 339"/>
    <w:qFormat/>
    <w:rPr>
      <w:rFonts w:cs="Symbol"/>
    </w:rPr>
  </w:style>
  <w:style w:type="character" w:styleId="ListLabel340">
    <w:name w:val="ListLabel 340"/>
    <w:qFormat/>
    <w:rPr>
      <w:rFonts w:cs="Courier New"/>
    </w:rPr>
  </w:style>
  <w:style w:type="character" w:styleId="ListLabel341">
    <w:name w:val="ListLabel 341"/>
    <w:qFormat/>
    <w:rPr>
      <w:rFonts w:cs="Wingdings"/>
    </w:rPr>
  </w:style>
  <w:style w:type="character" w:styleId="ListLabel342">
    <w:name w:val="ListLabel 342"/>
    <w:qFormat/>
    <w:rPr>
      <w:rFonts w:cs="Symbol"/>
    </w:rPr>
  </w:style>
  <w:style w:type="character" w:styleId="ListLabel343">
    <w:name w:val="ListLabel 343"/>
    <w:qFormat/>
    <w:rPr>
      <w:rFonts w:cs="Courier New"/>
    </w:rPr>
  </w:style>
  <w:style w:type="character" w:styleId="ListLabel344">
    <w:name w:val="ListLabel 344"/>
    <w:qFormat/>
    <w:rPr>
      <w:rFonts w:cs="Wingdings"/>
    </w:rPr>
  </w:style>
  <w:style w:type="character" w:styleId="ListLabel345">
    <w:name w:val="ListLabel 345"/>
    <w:qFormat/>
    <w:rPr>
      <w:rFonts w:ascii="Arial" w:hAnsi="Arial" w:cs="OpenSymbol"/>
      <w:sz w:val="22"/>
    </w:rPr>
  </w:style>
  <w:style w:type="character" w:styleId="ListLabel346">
    <w:name w:val="ListLabel 346"/>
    <w:qFormat/>
    <w:rPr>
      <w:rFonts w:cs="OpenSymbol"/>
    </w:rPr>
  </w:style>
  <w:style w:type="character" w:styleId="ListLabel347">
    <w:name w:val="ListLabel 347"/>
    <w:qFormat/>
    <w:rPr>
      <w:rFonts w:cs="OpenSymbol"/>
    </w:rPr>
  </w:style>
  <w:style w:type="character" w:styleId="ListLabel348">
    <w:name w:val="ListLabel 348"/>
    <w:qFormat/>
    <w:rPr>
      <w:rFonts w:cs="OpenSymbol"/>
    </w:rPr>
  </w:style>
  <w:style w:type="character" w:styleId="ListLabel349">
    <w:name w:val="ListLabel 349"/>
    <w:qFormat/>
    <w:rPr>
      <w:rFonts w:cs="OpenSymbol"/>
    </w:rPr>
  </w:style>
  <w:style w:type="character" w:styleId="ListLabel350">
    <w:name w:val="ListLabel 350"/>
    <w:qFormat/>
    <w:rPr>
      <w:rFonts w:cs="OpenSymbol"/>
    </w:rPr>
  </w:style>
  <w:style w:type="character" w:styleId="ListLabel351">
    <w:name w:val="ListLabel 351"/>
    <w:qFormat/>
    <w:rPr>
      <w:rFonts w:cs="OpenSymbol"/>
    </w:rPr>
  </w:style>
  <w:style w:type="character" w:styleId="ListLabel352">
    <w:name w:val="ListLabel 352"/>
    <w:qFormat/>
    <w:rPr>
      <w:rFonts w:cs="OpenSymbol"/>
    </w:rPr>
  </w:style>
  <w:style w:type="character" w:styleId="ListLabel353">
    <w:name w:val="ListLabel 353"/>
    <w:qFormat/>
    <w:rPr>
      <w:rFonts w:cs="OpenSymbol"/>
    </w:rPr>
  </w:style>
  <w:style w:type="character" w:styleId="ListLabel354">
    <w:name w:val="ListLabel 354"/>
    <w:qFormat/>
    <w:rPr>
      <w:rFonts w:cs="OpenSymbol"/>
    </w:rPr>
  </w:style>
  <w:style w:type="character" w:styleId="ListLabel355">
    <w:name w:val="ListLabel 355"/>
    <w:qFormat/>
    <w:rPr>
      <w:rFonts w:cs="OpenSymbol"/>
    </w:rPr>
  </w:style>
  <w:style w:type="character" w:styleId="ListLabel356">
    <w:name w:val="ListLabel 356"/>
    <w:qFormat/>
    <w:rPr>
      <w:rFonts w:cs="OpenSymbol"/>
    </w:rPr>
  </w:style>
  <w:style w:type="character" w:styleId="ListLabel357">
    <w:name w:val="ListLabel 357"/>
    <w:qFormat/>
    <w:rPr>
      <w:rFonts w:cs="OpenSymbol"/>
    </w:rPr>
  </w:style>
  <w:style w:type="character" w:styleId="ListLabel358">
    <w:name w:val="ListLabel 358"/>
    <w:qFormat/>
    <w:rPr>
      <w:rFonts w:cs="OpenSymbol"/>
    </w:rPr>
  </w:style>
  <w:style w:type="character" w:styleId="ListLabel359">
    <w:name w:val="ListLabel 359"/>
    <w:qFormat/>
    <w:rPr>
      <w:rFonts w:cs="OpenSymbol"/>
    </w:rPr>
  </w:style>
  <w:style w:type="character" w:styleId="ListLabel360">
    <w:name w:val="ListLabel 360"/>
    <w:qFormat/>
    <w:rPr>
      <w:rFonts w:cs="OpenSymbol"/>
    </w:rPr>
  </w:style>
  <w:style w:type="character" w:styleId="ListLabel361">
    <w:name w:val="ListLabel 361"/>
    <w:qFormat/>
    <w:rPr>
      <w:rFonts w:cs="OpenSymbol"/>
    </w:rPr>
  </w:style>
  <w:style w:type="character" w:styleId="ListLabel362">
    <w:name w:val="ListLabel 362"/>
    <w:qFormat/>
    <w:rPr>
      <w:rFonts w:cs="OpenSymbol"/>
    </w:rPr>
  </w:style>
  <w:style w:type="character" w:styleId="ListLabel363">
    <w:name w:val="ListLabel 363"/>
    <w:qFormat/>
    <w:rPr>
      <w:rFonts w:cs="Symbol"/>
      <w:sz w:val="22"/>
    </w:rPr>
  </w:style>
  <w:style w:type="character" w:styleId="ListLabel364">
    <w:name w:val="ListLabel 364"/>
    <w:qFormat/>
    <w:rPr>
      <w:rFonts w:cs="Symbol"/>
      <w:sz w:val="22"/>
    </w:rPr>
  </w:style>
  <w:style w:type="character" w:styleId="ListLabel365">
    <w:name w:val="ListLabel 365"/>
    <w:qFormat/>
    <w:rPr>
      <w:rFonts w:cs="Courier New"/>
    </w:rPr>
  </w:style>
  <w:style w:type="character" w:styleId="ListLabel366">
    <w:name w:val="ListLabel 366"/>
    <w:qFormat/>
    <w:rPr>
      <w:rFonts w:cs="Wingdings"/>
    </w:rPr>
  </w:style>
  <w:style w:type="character" w:styleId="ListLabel367">
    <w:name w:val="ListLabel 367"/>
    <w:qFormat/>
    <w:rPr>
      <w:rFonts w:cs="Symbol"/>
    </w:rPr>
  </w:style>
  <w:style w:type="character" w:styleId="ListLabel368">
    <w:name w:val="ListLabel 368"/>
    <w:qFormat/>
    <w:rPr>
      <w:rFonts w:cs="Courier New"/>
    </w:rPr>
  </w:style>
  <w:style w:type="character" w:styleId="ListLabel369">
    <w:name w:val="ListLabel 369"/>
    <w:qFormat/>
    <w:rPr>
      <w:rFonts w:cs="Wingdings"/>
    </w:rPr>
  </w:style>
  <w:style w:type="character" w:styleId="ListLabel370">
    <w:name w:val="ListLabel 370"/>
    <w:qFormat/>
    <w:rPr>
      <w:rFonts w:cs="Symbol"/>
    </w:rPr>
  </w:style>
  <w:style w:type="character" w:styleId="ListLabel371">
    <w:name w:val="ListLabel 371"/>
    <w:qFormat/>
    <w:rPr>
      <w:rFonts w:cs="Courier New"/>
    </w:rPr>
  </w:style>
  <w:style w:type="character" w:styleId="ListLabel372">
    <w:name w:val="ListLabel 372"/>
    <w:qFormat/>
    <w:rPr>
      <w:rFonts w:cs="Wingdings"/>
    </w:rPr>
  </w:style>
  <w:style w:type="character" w:styleId="ListLabel373">
    <w:name w:val="ListLabel 373"/>
    <w:qFormat/>
    <w:rPr>
      <w:rFonts w:ascii="Arial" w:hAnsi="Arial" w:cs="OpenSymbol"/>
      <w:sz w:val="22"/>
    </w:rPr>
  </w:style>
  <w:style w:type="character" w:styleId="ListLabel374">
    <w:name w:val="ListLabel 374"/>
    <w:qFormat/>
    <w:rPr>
      <w:rFonts w:cs="OpenSymbol"/>
    </w:rPr>
  </w:style>
  <w:style w:type="character" w:styleId="ListLabel375">
    <w:name w:val="ListLabel 375"/>
    <w:qFormat/>
    <w:rPr>
      <w:rFonts w:cs="OpenSymbol"/>
    </w:rPr>
  </w:style>
  <w:style w:type="character" w:styleId="ListLabel376">
    <w:name w:val="ListLabel 376"/>
    <w:qFormat/>
    <w:rPr>
      <w:rFonts w:cs="OpenSymbol"/>
    </w:rPr>
  </w:style>
  <w:style w:type="character" w:styleId="ListLabel377">
    <w:name w:val="ListLabel 377"/>
    <w:qFormat/>
    <w:rPr>
      <w:rFonts w:cs="OpenSymbol"/>
    </w:rPr>
  </w:style>
  <w:style w:type="character" w:styleId="ListLabel378">
    <w:name w:val="ListLabel 378"/>
    <w:qFormat/>
    <w:rPr>
      <w:rFonts w:cs="OpenSymbol"/>
    </w:rPr>
  </w:style>
  <w:style w:type="character" w:styleId="ListLabel379">
    <w:name w:val="ListLabel 379"/>
    <w:qFormat/>
    <w:rPr>
      <w:rFonts w:cs="OpenSymbol"/>
    </w:rPr>
  </w:style>
  <w:style w:type="character" w:styleId="ListLabel380">
    <w:name w:val="ListLabel 380"/>
    <w:qFormat/>
    <w:rPr>
      <w:rFonts w:cs="OpenSymbol"/>
    </w:rPr>
  </w:style>
  <w:style w:type="character" w:styleId="ListLabel381">
    <w:name w:val="ListLabel 381"/>
    <w:qFormat/>
    <w:rPr>
      <w:rFonts w:cs="OpenSymbol"/>
    </w:rPr>
  </w:style>
  <w:style w:type="character" w:styleId="ListLabel382">
    <w:name w:val="ListLabel 382"/>
    <w:qFormat/>
    <w:rPr>
      <w:rFonts w:cs="OpenSymbol"/>
    </w:rPr>
  </w:style>
  <w:style w:type="character" w:styleId="ListLabel383">
    <w:name w:val="ListLabel 383"/>
    <w:qFormat/>
    <w:rPr>
      <w:rFonts w:cs="OpenSymbol"/>
    </w:rPr>
  </w:style>
  <w:style w:type="character" w:styleId="ListLabel384">
    <w:name w:val="ListLabel 384"/>
    <w:qFormat/>
    <w:rPr>
      <w:rFonts w:cs="OpenSymbol"/>
    </w:rPr>
  </w:style>
  <w:style w:type="character" w:styleId="ListLabel385">
    <w:name w:val="ListLabel 385"/>
    <w:qFormat/>
    <w:rPr>
      <w:rFonts w:cs="OpenSymbol"/>
    </w:rPr>
  </w:style>
  <w:style w:type="character" w:styleId="ListLabel386">
    <w:name w:val="ListLabel 386"/>
    <w:qFormat/>
    <w:rPr>
      <w:rFonts w:cs="OpenSymbol"/>
    </w:rPr>
  </w:style>
  <w:style w:type="character" w:styleId="ListLabel387">
    <w:name w:val="ListLabel 387"/>
    <w:qFormat/>
    <w:rPr>
      <w:rFonts w:cs="OpenSymbol"/>
    </w:rPr>
  </w:style>
  <w:style w:type="character" w:styleId="ListLabel388">
    <w:name w:val="ListLabel 388"/>
    <w:qFormat/>
    <w:rPr>
      <w:rFonts w:cs="OpenSymbol"/>
    </w:rPr>
  </w:style>
  <w:style w:type="character" w:styleId="ListLabel389">
    <w:name w:val="ListLabel 389"/>
    <w:qFormat/>
    <w:rPr>
      <w:rFonts w:cs="OpenSymbol"/>
    </w:rPr>
  </w:style>
  <w:style w:type="character" w:styleId="ListLabel390">
    <w:name w:val="ListLabel 390"/>
    <w:qFormat/>
    <w:rPr>
      <w:rFonts w:cs="OpenSymbol"/>
    </w:rPr>
  </w:style>
  <w:style w:type="character" w:styleId="ListLabel391">
    <w:name w:val="ListLabel 391"/>
    <w:qFormat/>
    <w:rPr>
      <w:rFonts w:cs="Symbol"/>
      <w:sz w:val="22"/>
    </w:rPr>
  </w:style>
  <w:style w:type="character" w:styleId="ListLabel392">
    <w:name w:val="ListLabel 392"/>
    <w:qFormat/>
    <w:rPr>
      <w:rFonts w:cs="Symbol"/>
      <w:sz w:val="22"/>
    </w:rPr>
  </w:style>
  <w:style w:type="character" w:styleId="ListLabel393">
    <w:name w:val="ListLabel 393"/>
    <w:qFormat/>
    <w:rPr>
      <w:rFonts w:cs="Courier New"/>
    </w:rPr>
  </w:style>
  <w:style w:type="character" w:styleId="ListLabel394">
    <w:name w:val="ListLabel 394"/>
    <w:qFormat/>
    <w:rPr>
      <w:rFonts w:cs="Wingdings"/>
    </w:rPr>
  </w:style>
  <w:style w:type="character" w:styleId="ListLabel395">
    <w:name w:val="ListLabel 395"/>
    <w:qFormat/>
    <w:rPr>
      <w:rFonts w:cs="Symbol"/>
    </w:rPr>
  </w:style>
  <w:style w:type="character" w:styleId="ListLabel396">
    <w:name w:val="ListLabel 396"/>
    <w:qFormat/>
    <w:rPr>
      <w:rFonts w:cs="Courier New"/>
    </w:rPr>
  </w:style>
  <w:style w:type="character" w:styleId="ListLabel397">
    <w:name w:val="ListLabel 397"/>
    <w:qFormat/>
    <w:rPr>
      <w:rFonts w:cs="Wingdings"/>
    </w:rPr>
  </w:style>
  <w:style w:type="character" w:styleId="ListLabel398">
    <w:name w:val="ListLabel 398"/>
    <w:qFormat/>
    <w:rPr>
      <w:rFonts w:cs="Symbol"/>
    </w:rPr>
  </w:style>
  <w:style w:type="character" w:styleId="ListLabel399">
    <w:name w:val="ListLabel 399"/>
    <w:qFormat/>
    <w:rPr>
      <w:rFonts w:cs="Courier New"/>
    </w:rPr>
  </w:style>
  <w:style w:type="character" w:styleId="ListLabel400">
    <w:name w:val="ListLabel 400"/>
    <w:qFormat/>
    <w:rPr>
      <w:rFonts w:cs="Wingdings"/>
    </w:rPr>
  </w:style>
  <w:style w:type="character" w:styleId="ListLabel401">
    <w:name w:val="ListLabel 401"/>
    <w:qFormat/>
    <w:rPr>
      <w:rFonts w:ascii="Arial" w:hAnsi="Arial" w:cs="OpenSymbol"/>
      <w:sz w:val="22"/>
    </w:rPr>
  </w:style>
  <w:style w:type="character" w:styleId="ListLabel402">
    <w:name w:val="ListLabel 402"/>
    <w:qFormat/>
    <w:rPr>
      <w:rFonts w:cs="OpenSymbol"/>
    </w:rPr>
  </w:style>
  <w:style w:type="character" w:styleId="ListLabel403">
    <w:name w:val="ListLabel 403"/>
    <w:qFormat/>
    <w:rPr>
      <w:rFonts w:cs="OpenSymbol"/>
    </w:rPr>
  </w:style>
  <w:style w:type="character" w:styleId="ListLabel404">
    <w:name w:val="ListLabel 404"/>
    <w:qFormat/>
    <w:rPr>
      <w:rFonts w:cs="OpenSymbol"/>
    </w:rPr>
  </w:style>
  <w:style w:type="character" w:styleId="ListLabel405">
    <w:name w:val="ListLabel 405"/>
    <w:qFormat/>
    <w:rPr>
      <w:rFonts w:cs="OpenSymbol"/>
    </w:rPr>
  </w:style>
  <w:style w:type="character" w:styleId="ListLabel406">
    <w:name w:val="ListLabel 406"/>
    <w:qFormat/>
    <w:rPr>
      <w:rFonts w:cs="OpenSymbol"/>
    </w:rPr>
  </w:style>
  <w:style w:type="character" w:styleId="ListLabel407">
    <w:name w:val="ListLabel 407"/>
    <w:qFormat/>
    <w:rPr>
      <w:rFonts w:cs="OpenSymbol"/>
    </w:rPr>
  </w:style>
  <w:style w:type="character" w:styleId="ListLabel408">
    <w:name w:val="ListLabel 408"/>
    <w:qFormat/>
    <w:rPr>
      <w:rFonts w:cs="OpenSymbol"/>
    </w:rPr>
  </w:style>
  <w:style w:type="character" w:styleId="ListLabel409">
    <w:name w:val="ListLabel 409"/>
    <w:qFormat/>
    <w:rPr>
      <w:rFonts w:cs="OpenSymbol"/>
    </w:rPr>
  </w:style>
  <w:style w:type="character" w:styleId="ListLabel410">
    <w:name w:val="ListLabel 410"/>
    <w:qFormat/>
    <w:rPr>
      <w:rFonts w:cs="OpenSymbol"/>
    </w:rPr>
  </w:style>
  <w:style w:type="character" w:styleId="ListLabel411">
    <w:name w:val="ListLabel 411"/>
    <w:qFormat/>
    <w:rPr>
      <w:rFonts w:cs="OpenSymbol"/>
    </w:rPr>
  </w:style>
  <w:style w:type="character" w:styleId="ListLabel412">
    <w:name w:val="ListLabel 412"/>
    <w:qFormat/>
    <w:rPr>
      <w:rFonts w:cs="OpenSymbol"/>
    </w:rPr>
  </w:style>
  <w:style w:type="character" w:styleId="ListLabel413">
    <w:name w:val="ListLabel 413"/>
    <w:qFormat/>
    <w:rPr>
      <w:rFonts w:cs="OpenSymbol"/>
    </w:rPr>
  </w:style>
  <w:style w:type="character" w:styleId="ListLabel414">
    <w:name w:val="ListLabel 414"/>
    <w:qFormat/>
    <w:rPr>
      <w:rFonts w:cs="OpenSymbol"/>
    </w:rPr>
  </w:style>
  <w:style w:type="character" w:styleId="ListLabel415">
    <w:name w:val="ListLabel 415"/>
    <w:qFormat/>
    <w:rPr>
      <w:rFonts w:cs="OpenSymbol"/>
    </w:rPr>
  </w:style>
  <w:style w:type="character" w:styleId="ListLabel416">
    <w:name w:val="ListLabel 416"/>
    <w:qFormat/>
    <w:rPr>
      <w:rFonts w:cs="OpenSymbol"/>
    </w:rPr>
  </w:style>
  <w:style w:type="character" w:styleId="ListLabel417">
    <w:name w:val="ListLabel 417"/>
    <w:qFormat/>
    <w:rPr>
      <w:rFonts w:cs="OpenSymbol"/>
    </w:rPr>
  </w:style>
  <w:style w:type="character" w:styleId="ListLabel418">
    <w:name w:val="ListLabel 418"/>
    <w:qFormat/>
    <w:rPr>
      <w:rFonts w:cs="OpenSymbol"/>
    </w:rPr>
  </w:style>
  <w:style w:type="character" w:styleId="ListLabel419">
    <w:name w:val="ListLabel 419"/>
    <w:qFormat/>
    <w:rPr>
      <w:rFonts w:cs="Symbol"/>
      <w:sz w:val="22"/>
    </w:rPr>
  </w:style>
  <w:style w:type="character" w:styleId="ListLabel420">
    <w:name w:val="ListLabel 420"/>
    <w:qFormat/>
    <w:rPr>
      <w:rFonts w:cs="Symbol"/>
      <w:sz w:val="22"/>
    </w:rPr>
  </w:style>
  <w:style w:type="character" w:styleId="ListLabel421">
    <w:name w:val="ListLabel 421"/>
    <w:qFormat/>
    <w:rPr>
      <w:rFonts w:cs="Courier New"/>
    </w:rPr>
  </w:style>
  <w:style w:type="character" w:styleId="ListLabel422">
    <w:name w:val="ListLabel 422"/>
    <w:qFormat/>
    <w:rPr>
      <w:rFonts w:cs="Wingdings"/>
    </w:rPr>
  </w:style>
  <w:style w:type="character" w:styleId="ListLabel423">
    <w:name w:val="ListLabel 423"/>
    <w:qFormat/>
    <w:rPr>
      <w:rFonts w:cs="Symbol"/>
    </w:rPr>
  </w:style>
  <w:style w:type="character" w:styleId="ListLabel424">
    <w:name w:val="ListLabel 424"/>
    <w:qFormat/>
    <w:rPr>
      <w:rFonts w:cs="Courier New"/>
    </w:rPr>
  </w:style>
  <w:style w:type="character" w:styleId="ListLabel425">
    <w:name w:val="ListLabel 425"/>
    <w:qFormat/>
    <w:rPr>
      <w:rFonts w:cs="Wingdings"/>
    </w:rPr>
  </w:style>
  <w:style w:type="character" w:styleId="ListLabel426">
    <w:name w:val="ListLabel 426"/>
    <w:qFormat/>
    <w:rPr>
      <w:rFonts w:cs="Symbol"/>
    </w:rPr>
  </w:style>
  <w:style w:type="character" w:styleId="ListLabel427">
    <w:name w:val="ListLabel 427"/>
    <w:qFormat/>
    <w:rPr>
      <w:rFonts w:cs="Courier New"/>
    </w:rPr>
  </w:style>
  <w:style w:type="character" w:styleId="ListLabel428">
    <w:name w:val="ListLabel 428"/>
    <w:qFormat/>
    <w:rPr>
      <w:rFonts w:cs="Wingdings"/>
    </w:rPr>
  </w:style>
  <w:style w:type="character" w:styleId="ListLabel429">
    <w:name w:val="ListLabel 429"/>
    <w:qFormat/>
    <w:rPr>
      <w:rFonts w:ascii="Arial" w:hAnsi="Arial" w:cs="OpenSymbol"/>
      <w:sz w:val="22"/>
    </w:rPr>
  </w:style>
  <w:style w:type="character" w:styleId="ListLabel430">
    <w:name w:val="ListLabel 430"/>
    <w:qFormat/>
    <w:rPr>
      <w:rFonts w:cs="OpenSymbol"/>
    </w:rPr>
  </w:style>
  <w:style w:type="character" w:styleId="ListLabel431">
    <w:name w:val="ListLabel 431"/>
    <w:qFormat/>
    <w:rPr>
      <w:rFonts w:cs="OpenSymbol"/>
    </w:rPr>
  </w:style>
  <w:style w:type="character" w:styleId="ListLabel432">
    <w:name w:val="ListLabel 432"/>
    <w:qFormat/>
    <w:rPr>
      <w:rFonts w:cs="OpenSymbol"/>
    </w:rPr>
  </w:style>
  <w:style w:type="character" w:styleId="ListLabel433">
    <w:name w:val="ListLabel 433"/>
    <w:qFormat/>
    <w:rPr>
      <w:rFonts w:cs="OpenSymbol"/>
    </w:rPr>
  </w:style>
  <w:style w:type="character" w:styleId="ListLabel434">
    <w:name w:val="ListLabel 434"/>
    <w:qFormat/>
    <w:rPr>
      <w:rFonts w:cs="OpenSymbol"/>
    </w:rPr>
  </w:style>
  <w:style w:type="character" w:styleId="ListLabel435">
    <w:name w:val="ListLabel 435"/>
    <w:qFormat/>
    <w:rPr>
      <w:rFonts w:cs="OpenSymbol"/>
    </w:rPr>
  </w:style>
  <w:style w:type="character" w:styleId="ListLabel436">
    <w:name w:val="ListLabel 436"/>
    <w:qFormat/>
    <w:rPr>
      <w:rFonts w:cs="OpenSymbol"/>
    </w:rPr>
  </w:style>
  <w:style w:type="character" w:styleId="ListLabel437">
    <w:name w:val="ListLabel 437"/>
    <w:qFormat/>
    <w:rPr>
      <w:rFonts w:cs="OpenSymbol"/>
    </w:rPr>
  </w:style>
  <w:style w:type="paragraph" w:styleId="Ttulo">
    <w:name w:val="Título"/>
    <w:basedOn w:val="Normal"/>
    <w:next w:val="Corpodetexto"/>
    <w:qFormat/>
    <w:pPr>
      <w:keepNext w:val="true"/>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kern w:val="0"/>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kern w:val="0"/>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76" w:before="180" w:after="0"/>
      <w:ind w:left="72" w:hanging="0"/>
      <w:jc w:val="left"/>
    </w:pPr>
    <w:rPr>
      <w:rFonts w:ascii="Times New Roman" w:hAnsi="Times New Roman" w:eastAsia="Times New Roman" w:cs="Times New Roman"/>
      <w:i/>
      <w:iCs/>
      <w:color w:val="00000A"/>
      <w:kern w:val="0"/>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kern w:val="0"/>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kern w:val="0"/>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kern w:val="0"/>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kern w:val="0"/>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kern w:val="0"/>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kern w:val="0"/>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kern w:val="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jpe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5.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1437</TotalTime>
  <Application>LibreOffice/6.0.3.2$Windows_x86 LibreOffice_project/8f48d515416608e3a835360314dac7e47fd0b821</Application>
  <Pages>30</Pages>
  <Words>11093</Words>
  <Characters>63005</Characters>
  <CharactersWithSpaces>73874</CharactersWithSpaces>
  <Paragraphs>404</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2019-07-25T17:33:00Z</dcterms:created>
  <dc:creator>TOSHIBA</dc:creator>
  <dc:description/>
  <dc:language>pt-BR</dc:language>
  <cp:lastModifiedBy/>
  <cp:lastPrinted>2019-12-10T13:54:24Z</cp:lastPrinted>
  <dcterms:modified xsi:type="dcterms:W3CDTF">2019-12-10T13:54:50Z</dcterms:modified>
  <cp:revision>30</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